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r>
        <w:rPr>
          <w:rFonts w:ascii="方正小标宋_GBK" w:hAnsi="方正小标宋_GBK" w:eastAsia="方正小标宋_GBK" w:cs="方正小标宋_GBK"/>
          <w:color w:val="000000"/>
          <w:sz w:val="72"/>
        </w:rPr>
        <w:t>河北省承德市中级人民法院</w:t>
      </w:r>
    </w:p>
    <w:p>
      <w:pPr>
        <w:jc w:val="center"/>
      </w:pPr>
      <w:r>
        <w:rPr>
          <w:rFonts w:ascii="方正小标宋_GBK" w:hAnsi="方正小标宋_GBK" w:eastAsia="方正小标宋_GBK" w:cs="方正小标宋_GBK"/>
          <w:color w:val="000000"/>
          <w:sz w:val="72"/>
        </w:rPr>
        <w:t>202</w:t>
      </w:r>
      <w:r>
        <w:rPr>
          <w:rFonts w:hint="eastAsia" w:ascii="方正小标宋_GBK" w:hAnsi="方正小标宋_GBK" w:eastAsia="方正小标宋_GBK" w:cs="方正小标宋_GBK"/>
          <w:color w:val="000000"/>
          <w:sz w:val="72"/>
          <w:lang w:eastAsia="zh-CN"/>
        </w:rPr>
        <w:t>3</w:t>
      </w:r>
      <w:r>
        <w:rPr>
          <w:rFonts w:ascii="方正小标宋_GBK" w:hAnsi="方正小标宋_GBK" w:eastAsia="方正小标宋_GBK" w:cs="方正小标宋_GBK"/>
          <w:color w:val="000000"/>
          <w:sz w:val="72"/>
        </w:rPr>
        <w:t>年部门预算绩效文本</w:t>
      </w:r>
    </w:p>
    <w:p>
      <w:pPr>
        <w:jc w:val="center"/>
      </w:pPr>
      <w:r>
        <w:rPr>
          <w:rFonts w:ascii="方正小标宋_GBK" w:hAnsi="方正小标宋_GBK" w:eastAsia="方正小标宋_GBK" w:cs="方正小标宋_GBK"/>
          <w:color w:val="000000"/>
          <w:sz w:val="52"/>
        </w:rPr>
        <w:t>（草案）</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ascii="方正楷体_GBK" w:hAnsi="方正楷体_GBK" w:eastAsia="方正楷体_GBK" w:cs="方正楷体_GBK"/>
          <w:b/>
          <w:color w:val="000000"/>
          <w:sz w:val="32"/>
        </w:rPr>
        <w:t>河北省承德市中级人民法院编制</w:t>
      </w:r>
    </w:p>
    <w:p>
      <w:pPr>
        <w:jc w:val="center"/>
        <w:sectPr>
          <w:headerReference r:id="rId5" w:type="first"/>
          <w:footerReference r:id="rId8" w:type="first"/>
          <w:headerReference r:id="rId3" w:type="default"/>
          <w:footerReference r:id="rId6" w:type="default"/>
          <w:headerReference r:id="rId4" w:type="even"/>
          <w:footerReference r:id="rId7" w:type="even"/>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承德市财政局审核</w:t>
      </w:r>
    </w:p>
    <w:p>
      <w:pPr>
        <w:jc w:val="center"/>
        <w:sectPr>
          <w:pgSz w:w="11900" w:h="16840"/>
          <w:pgMar w:top="1984" w:right="1304" w:bottom="1134" w:left="1304" w:header="720" w:footer="720" w:gutter="0"/>
          <w:cols w:space="720" w:num="1"/>
          <w:titlePg/>
        </w:sectPr>
      </w:pPr>
    </w:p>
    <w:p>
      <w:pPr>
        <w:jc w:val="center"/>
      </w:pPr>
    </w:p>
    <w:p>
      <w:pPr>
        <w:jc w:val="center"/>
        <w:outlineLvl w:val="0"/>
      </w:pPr>
      <w:r>
        <w:rPr>
          <w:rFonts w:ascii="方正小标宋_GBK" w:hAnsi="方正小标宋_GBK" w:eastAsia="方正小标宋_GBK" w:cs="方正小标宋_GBK"/>
          <w:color w:val="000000"/>
          <w:sz w:val="36"/>
        </w:rPr>
        <w:t>目    录</w:t>
      </w:r>
    </w:p>
    <w:p>
      <w:pPr>
        <w:jc w:val="center"/>
      </w:pPr>
    </w:p>
    <w:p>
      <w:pPr>
        <w:jc w:val="center"/>
      </w:pPr>
      <w:r>
        <w:rPr>
          <w:rFonts w:ascii="方正小标宋_GBK" w:hAnsi="方正小标宋_GBK" w:eastAsia="方正小标宋_GBK" w:cs="方正小标宋_GBK"/>
          <w:color w:val="000000"/>
          <w:sz w:val="30"/>
        </w:rPr>
        <w:t>第一部分 部门整体绩效目标</w:t>
      </w:r>
    </w:p>
    <w:p>
      <w:pPr>
        <w:pStyle w:val="21"/>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1"/>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1"/>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3</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21"/>
        <w:tabs>
          <w:tab w:val="right" w:leader="dot" w:pos="9282"/>
        </w:tabs>
      </w:pPr>
      <w:r>
        <w:fldChar w:fldCharType="begin"/>
      </w:r>
      <w:r>
        <w:instrText xml:space="preserve">TOC \o "4-4" \h \z \u</w:instrText>
      </w:r>
      <w:r>
        <w:fldChar w:fldCharType="separate"/>
      </w:r>
      <w:r>
        <w:fldChar w:fldCharType="begin"/>
      </w:r>
      <w:r>
        <w:instrText xml:space="preserve"> HYPERLINK \l "_Toc123030967" </w:instrText>
      </w:r>
      <w:r>
        <w:fldChar w:fldCharType="separate"/>
      </w:r>
      <w:r>
        <w:t>1.2023</w:t>
      </w:r>
      <w:r>
        <w:rPr>
          <w:rFonts w:hint="eastAsia"/>
        </w:rPr>
        <w:t>年度办案业务经费（企业破产保障经费）绩效目标表</w:t>
      </w:r>
      <w:r>
        <w:tab/>
      </w:r>
      <w:r>
        <w:fldChar w:fldCharType="begin"/>
      </w:r>
      <w:r>
        <w:instrText xml:space="preserve"> PAGEREF _Toc123030967 \h </w:instrText>
      </w:r>
      <w:r>
        <w:fldChar w:fldCharType="separate"/>
      </w:r>
      <w:r>
        <w:t>5</w:t>
      </w:r>
      <w:r>
        <w:fldChar w:fldCharType="end"/>
      </w:r>
      <w:r>
        <w:fldChar w:fldCharType="end"/>
      </w:r>
    </w:p>
    <w:p>
      <w:pPr>
        <w:pStyle w:val="21"/>
        <w:tabs>
          <w:tab w:val="right" w:leader="dot" w:pos="9282"/>
        </w:tabs>
      </w:pPr>
      <w:r>
        <w:fldChar w:fldCharType="begin"/>
      </w:r>
      <w:r>
        <w:instrText xml:space="preserve"> HYPERLINK \l "_Toc123030968" </w:instrText>
      </w:r>
      <w:r>
        <w:fldChar w:fldCharType="separate"/>
      </w:r>
      <w:r>
        <w:t>2.2023</w:t>
      </w:r>
      <w:r>
        <w:rPr>
          <w:rFonts w:hint="eastAsia"/>
        </w:rPr>
        <w:t>年度公务运转经费绩效目标表</w:t>
      </w:r>
      <w:r>
        <w:tab/>
      </w:r>
      <w:r>
        <w:fldChar w:fldCharType="begin"/>
      </w:r>
      <w:r>
        <w:instrText xml:space="preserve"> PAGEREF _Toc123030968 \h </w:instrText>
      </w:r>
      <w:r>
        <w:fldChar w:fldCharType="separate"/>
      </w:r>
      <w:r>
        <w:t>6</w:t>
      </w:r>
      <w:r>
        <w:fldChar w:fldCharType="end"/>
      </w:r>
      <w:r>
        <w:fldChar w:fldCharType="end"/>
      </w:r>
    </w:p>
    <w:p>
      <w:pPr>
        <w:pStyle w:val="21"/>
        <w:tabs>
          <w:tab w:val="right" w:leader="dot" w:pos="9282"/>
        </w:tabs>
      </w:pPr>
      <w:r>
        <w:fldChar w:fldCharType="begin"/>
      </w:r>
      <w:r>
        <w:instrText xml:space="preserve"> HYPERLINK \l "_Toc123030969" </w:instrText>
      </w:r>
      <w:r>
        <w:fldChar w:fldCharType="separate"/>
      </w:r>
      <w:r>
        <w:t>3.2023</w:t>
      </w:r>
      <w:r>
        <w:rPr>
          <w:rFonts w:hint="eastAsia"/>
        </w:rPr>
        <w:t>年度聘用制书记员经费绩效目标表</w:t>
      </w:r>
      <w:r>
        <w:tab/>
      </w:r>
      <w:r>
        <w:fldChar w:fldCharType="begin"/>
      </w:r>
      <w:r>
        <w:instrText xml:space="preserve"> PAGEREF _Toc123030969 \h </w:instrText>
      </w:r>
      <w:r>
        <w:fldChar w:fldCharType="separate"/>
      </w:r>
      <w:r>
        <w:t>7</w:t>
      </w:r>
      <w:r>
        <w:fldChar w:fldCharType="end"/>
      </w:r>
      <w:r>
        <w:fldChar w:fldCharType="end"/>
      </w:r>
    </w:p>
    <w:p>
      <w:pPr>
        <w:pStyle w:val="21"/>
        <w:tabs>
          <w:tab w:val="right" w:leader="dot" w:pos="9282"/>
        </w:tabs>
      </w:pPr>
      <w:r>
        <w:fldChar w:fldCharType="begin"/>
      </w:r>
      <w:r>
        <w:instrText xml:space="preserve"> HYPERLINK \l "_Toc123030970" </w:instrText>
      </w:r>
      <w:r>
        <w:fldChar w:fldCharType="separate"/>
      </w:r>
      <w:r>
        <w:t>4.2023</w:t>
      </w:r>
      <w:r>
        <w:rPr>
          <w:rFonts w:hint="eastAsia"/>
        </w:rPr>
        <w:t>年度人民陪审员</w:t>
      </w:r>
      <w:r>
        <w:t>(</w:t>
      </w:r>
      <w:r>
        <w:rPr>
          <w:rFonts w:hint="eastAsia"/>
        </w:rPr>
        <w:t>调解员）经费绩效目标表</w:t>
      </w:r>
      <w:r>
        <w:tab/>
      </w:r>
      <w:r>
        <w:fldChar w:fldCharType="begin"/>
      </w:r>
      <w:r>
        <w:instrText xml:space="preserve"> PAGEREF _Toc123030970 \h </w:instrText>
      </w:r>
      <w:r>
        <w:fldChar w:fldCharType="separate"/>
      </w:r>
      <w:r>
        <w:t>8</w:t>
      </w:r>
      <w:r>
        <w:fldChar w:fldCharType="end"/>
      </w:r>
      <w:r>
        <w:fldChar w:fldCharType="end"/>
      </w:r>
    </w:p>
    <w:p>
      <w:pPr>
        <w:pStyle w:val="21"/>
        <w:tabs>
          <w:tab w:val="right" w:leader="dot" w:pos="9282"/>
        </w:tabs>
      </w:pPr>
      <w:r>
        <w:fldChar w:fldCharType="begin"/>
      </w:r>
      <w:r>
        <w:instrText xml:space="preserve"> HYPERLINK \l "_Toc123030971" </w:instrText>
      </w:r>
      <w:r>
        <w:fldChar w:fldCharType="separate"/>
      </w:r>
      <w:r>
        <w:t>5.2023</w:t>
      </w:r>
      <w:r>
        <w:rPr>
          <w:rFonts w:hint="eastAsia"/>
        </w:rPr>
        <w:t>年度维修维护费绩效目标表</w:t>
      </w:r>
      <w:r>
        <w:tab/>
      </w:r>
      <w:r>
        <w:fldChar w:fldCharType="begin"/>
      </w:r>
      <w:r>
        <w:instrText xml:space="preserve"> PAGEREF _Toc123030971 \h </w:instrText>
      </w:r>
      <w:r>
        <w:fldChar w:fldCharType="separate"/>
      </w:r>
      <w:r>
        <w:t>9</w:t>
      </w:r>
      <w:r>
        <w:fldChar w:fldCharType="end"/>
      </w:r>
      <w:r>
        <w:fldChar w:fldCharType="end"/>
      </w:r>
    </w:p>
    <w:p>
      <w:pPr>
        <w:pStyle w:val="21"/>
        <w:tabs>
          <w:tab w:val="right" w:leader="dot" w:pos="9282"/>
        </w:tabs>
      </w:pPr>
      <w:r>
        <w:fldChar w:fldCharType="begin"/>
      </w:r>
      <w:r>
        <w:instrText xml:space="preserve"> HYPERLINK \l "_Toc123030972" </w:instrText>
      </w:r>
      <w:r>
        <w:fldChar w:fldCharType="separate"/>
      </w:r>
      <w:r>
        <w:t xml:space="preserve">6. </w:t>
      </w:r>
      <w:r>
        <w:rPr>
          <w:rFonts w:hint="eastAsia"/>
        </w:rPr>
        <w:t>刑场建设项目绩效目标表</w:t>
      </w:r>
      <w:r>
        <w:tab/>
      </w:r>
      <w:r>
        <w:fldChar w:fldCharType="begin"/>
      </w:r>
      <w:r>
        <w:instrText xml:space="preserve"> PAGEREF _Toc123030972 \h </w:instrText>
      </w:r>
      <w:r>
        <w:fldChar w:fldCharType="separate"/>
      </w:r>
      <w:r>
        <w:t>10</w:t>
      </w:r>
      <w:r>
        <w:fldChar w:fldCharType="end"/>
      </w:r>
      <w:r>
        <w:fldChar w:fldCharType="end"/>
      </w:r>
    </w:p>
    <w:p>
      <w:pPr>
        <w:pStyle w:val="21"/>
        <w:tabs>
          <w:tab w:val="right" w:leader="dot" w:pos="9282"/>
        </w:tabs>
        <w:rPr>
          <w:rFonts w:asciiTheme="minorHAnsi" w:hAnsiTheme="minorHAnsi" w:eastAsiaTheme="minorEastAsia" w:cstheme="minorBidi"/>
          <w:kern w:val="2"/>
          <w:sz w:val="21"/>
          <w:szCs w:val="22"/>
          <w:lang w:eastAsia="zh-CN"/>
        </w:rPr>
      </w:pPr>
      <w:r>
        <w:fldChar w:fldCharType="begin"/>
      </w:r>
      <w:r>
        <w:instrText xml:space="preserve"> HYPERLINK \l "_Toc123030973" </w:instrText>
      </w:r>
      <w:r>
        <w:fldChar w:fldCharType="separate"/>
      </w:r>
      <w:r>
        <w:t>7.</w:t>
      </w:r>
      <w:r>
        <w:rPr>
          <w:rFonts w:hint="eastAsia"/>
        </w:rPr>
        <w:t>质效型运维外包服务项目绩效目标表</w:t>
      </w:r>
      <w:r>
        <w:tab/>
      </w:r>
      <w:r>
        <w:fldChar w:fldCharType="begin"/>
      </w:r>
      <w:r>
        <w:instrText xml:space="preserve"> PAGEREF _Toc123030973 \h </w:instrText>
      </w:r>
      <w:r>
        <w:fldChar w:fldCharType="separate"/>
      </w:r>
      <w:r>
        <w:t>11</w:t>
      </w:r>
      <w:r>
        <w:fldChar w:fldCharType="end"/>
      </w:r>
      <w:r>
        <w:fldChar w:fldCharType="end"/>
      </w:r>
    </w:p>
    <w:p>
      <w:r>
        <w:fldChar w:fldCharType="end"/>
      </w:r>
    </w:p>
    <w:p>
      <w:pPr>
        <w:sectPr>
          <w:footerReference r:id="rId9" w:type="default"/>
          <w:footerReference r:id="rId10" w:type="even"/>
          <w:pgSz w:w="11900" w:h="16840"/>
          <w:pgMar w:top="1984" w:right="1304" w:bottom="1134" w:left="1304" w:header="720" w:footer="720" w:gutter="0"/>
          <w:pgNumType w:start="1"/>
          <w:cols w:space="720" w:num="1"/>
        </w:sectPr>
      </w:pPr>
      <w:bookmarkStart w:id="10" w:name="_GoBack"/>
      <w:bookmarkEnd w:id="10"/>
      <w:r>
        <w:br w:type="page"/>
      </w:r>
      <w:r>
        <w:br w:type="textWrapping"/>
      </w:r>
    </w:p>
    <w:p>
      <w:pPr>
        <w:jc w:val="center"/>
      </w:pPr>
    </w:p>
    <w:p>
      <w:pPr>
        <w:jc w:val="center"/>
      </w:pPr>
      <w:r>
        <w:rPr>
          <w:rFonts w:ascii="方正小标宋_GBK" w:hAnsi="方正小标宋_GBK" w:eastAsia="方正小标宋_GBK" w:cs="方正小标宋_GBK"/>
          <w:color w:val="000000"/>
          <w:sz w:val="44"/>
        </w:rPr>
        <w:t>第一部分</w:t>
      </w:r>
    </w:p>
    <w:p>
      <w:pPr>
        <w:jc w:val="center"/>
        <w:outlineLvl w:val="0"/>
      </w:pPr>
      <w:r>
        <w:rPr>
          <w:rFonts w:ascii="方正小标宋_GBK" w:hAnsi="方正小标宋_GBK" w:eastAsia="方正小标宋_GBK" w:cs="方正小标宋_GBK"/>
          <w:color w:val="000000"/>
          <w:sz w:val="44"/>
        </w:rPr>
        <w:t>部门整体绩效目标</w:t>
      </w:r>
    </w:p>
    <w:p>
      <w:pPr>
        <w:jc w:val="center"/>
      </w:pP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spacing w:line="500" w:lineRule="exact"/>
        <w:ind w:firstLine="560"/>
        <w:rPr>
          <w:rFonts w:eastAsia="方正仿宋_GBK"/>
          <w:color w:val="000000"/>
          <w:sz w:val="28"/>
        </w:rPr>
      </w:pPr>
      <w:r>
        <w:rPr>
          <w:rFonts w:eastAsia="方正仿宋_GBK"/>
          <w:color w:val="000000"/>
          <w:sz w:val="28"/>
        </w:rPr>
        <w:t>坚持以习近平新时代中国特色社会主义思想为指导，推动全省上下深入贯彻落实习近平总书记对河北工作的重要指示批示精神和党中央决策部署，以有力有效措施不断扩大贯彻落实成效。妥善审理经济转型过程中引发的各类矛盾纠纷，依法维护国家安全和社会稳定，严惩各类严重刑事犯罪，营造良好的法治环境；改革涉诉信访工作，推动涉诉信访问题在法治轨道内解决；落实司法为民措施，保护被侵权人合法利益，促进国家机关依法行使职权；提高队伍素质和执法能力，高质高效完成各项工作。</w:t>
      </w:r>
    </w:p>
    <w:p>
      <w:pPr>
        <w:pStyle w:val="11"/>
      </w:pPr>
      <w:r>
        <w:rPr>
          <w:color w:val="000000"/>
        </w:rPr>
        <w:t xml:space="preserve">  202</w:t>
      </w:r>
      <w:r>
        <w:rPr>
          <w:rFonts w:hint="eastAsia"/>
          <w:color w:val="000000"/>
          <w:lang w:eastAsia="zh-CN"/>
        </w:rPr>
        <w:t>3</w:t>
      </w:r>
      <w:r>
        <w:rPr>
          <w:color w:val="000000"/>
        </w:rPr>
        <w:t>年我们将继续重点在以下几个方面发力：一是在服务保障发展大局上做文章。二是在提升审判执行质效上下功夫。三是在完善便民利民举措上求实效。四是加强干警队伍建设上加力度。</w:t>
      </w: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spacing w:line="500" w:lineRule="exact"/>
        <w:ind w:firstLine="560"/>
        <w:rPr>
          <w:rFonts w:eastAsia="方正仿宋_GBK"/>
          <w:color w:val="000000"/>
          <w:sz w:val="28"/>
        </w:rPr>
      </w:pPr>
      <w:r>
        <w:rPr>
          <w:rFonts w:hint="eastAsia" w:eastAsia="方正仿宋_GBK"/>
          <w:color w:val="000000"/>
          <w:sz w:val="28"/>
        </w:rPr>
        <w:t>1、</w:t>
      </w:r>
      <w:r>
        <w:rPr>
          <w:rFonts w:eastAsia="方正仿宋_GBK"/>
          <w:color w:val="000000"/>
          <w:sz w:val="28"/>
        </w:rPr>
        <w:t>绩效目标：积极主动作为，着力提升司法保障能力。</w:t>
      </w:r>
    </w:p>
    <w:p>
      <w:pPr>
        <w:spacing w:line="500" w:lineRule="exact"/>
        <w:ind w:firstLine="560"/>
        <w:rPr>
          <w:rFonts w:eastAsia="方正仿宋_GBK"/>
          <w:color w:val="000000"/>
          <w:sz w:val="28"/>
        </w:rPr>
      </w:pPr>
      <w:r>
        <w:rPr>
          <w:rFonts w:eastAsia="方正仿宋_GBK"/>
          <w:color w:val="000000"/>
          <w:sz w:val="28"/>
        </w:rPr>
        <w:t xml:space="preserve">  绩效指标：</w:t>
      </w:r>
    </w:p>
    <w:p>
      <w:pPr>
        <w:spacing w:line="500" w:lineRule="exact"/>
        <w:ind w:firstLine="560"/>
        <w:rPr>
          <w:rFonts w:eastAsia="方正仿宋_GBK"/>
          <w:color w:val="000000"/>
          <w:sz w:val="28"/>
        </w:rPr>
      </w:pPr>
      <w:r>
        <w:rPr>
          <w:rFonts w:eastAsia="方正仿宋_GBK"/>
          <w:color w:val="000000"/>
          <w:sz w:val="28"/>
        </w:rPr>
        <w:t xml:space="preserve">  数量指标：办公用房、业务用房的合理保障。</w:t>
      </w:r>
    </w:p>
    <w:p>
      <w:pPr>
        <w:spacing w:line="500" w:lineRule="exact"/>
        <w:ind w:firstLine="560"/>
        <w:rPr>
          <w:rFonts w:eastAsia="方正仿宋_GBK"/>
          <w:color w:val="000000"/>
          <w:sz w:val="28"/>
        </w:rPr>
      </w:pPr>
      <w:r>
        <w:rPr>
          <w:rFonts w:eastAsia="方正仿宋_GBK"/>
          <w:color w:val="000000"/>
          <w:sz w:val="28"/>
        </w:rPr>
        <w:t xml:space="preserve">  质量指标：保证单位正常运转比率大于80%。</w:t>
      </w:r>
    </w:p>
    <w:p>
      <w:pPr>
        <w:spacing w:line="500" w:lineRule="exact"/>
        <w:ind w:firstLine="560"/>
        <w:rPr>
          <w:rFonts w:eastAsia="方正仿宋_GBK"/>
          <w:color w:val="000000"/>
          <w:sz w:val="28"/>
        </w:rPr>
      </w:pPr>
      <w:r>
        <w:rPr>
          <w:rFonts w:eastAsia="方正仿宋_GBK"/>
          <w:color w:val="000000"/>
          <w:sz w:val="28"/>
        </w:rPr>
        <w:t xml:space="preserve">  成本指标：总成本控制率小于等于100%。总成本控制率=本年度运转经费/上年度实际运转经费*100%。</w:t>
      </w:r>
    </w:p>
    <w:p>
      <w:pPr>
        <w:spacing w:line="500" w:lineRule="exact"/>
        <w:ind w:firstLine="560"/>
        <w:rPr>
          <w:rFonts w:eastAsia="方正仿宋_GBK"/>
          <w:color w:val="000000"/>
          <w:sz w:val="28"/>
        </w:rPr>
      </w:pPr>
      <w:r>
        <w:rPr>
          <w:rFonts w:eastAsia="方正仿宋_GBK"/>
          <w:color w:val="000000"/>
          <w:sz w:val="28"/>
        </w:rPr>
        <w:t xml:space="preserve">  时效指标：正常运转执行率大于等于80%。运转执行率=按时完成正常运转事项/部门单位所有正常运转事项。</w:t>
      </w:r>
    </w:p>
    <w:p>
      <w:pPr>
        <w:spacing w:line="500" w:lineRule="exact"/>
        <w:ind w:firstLine="560"/>
        <w:rPr>
          <w:rFonts w:eastAsia="方正仿宋_GBK"/>
          <w:color w:val="000000"/>
          <w:sz w:val="28"/>
        </w:rPr>
      </w:pPr>
      <w:r>
        <w:rPr>
          <w:rFonts w:eastAsia="方正仿宋_GBK"/>
          <w:color w:val="000000"/>
          <w:sz w:val="28"/>
        </w:rPr>
        <w:t xml:space="preserve"> 社会效益指标：保证各项工作顺利开展。反映运转保障各项工作开展的效果。</w:t>
      </w:r>
    </w:p>
    <w:p>
      <w:pPr>
        <w:spacing w:line="500" w:lineRule="exact"/>
        <w:ind w:firstLine="560"/>
        <w:rPr>
          <w:rFonts w:eastAsia="方正仿宋_GBK"/>
          <w:color w:val="000000"/>
          <w:sz w:val="28"/>
        </w:rPr>
      </w:pPr>
      <w:r>
        <w:rPr>
          <w:rFonts w:eastAsia="方正仿宋_GBK"/>
          <w:color w:val="000000"/>
          <w:sz w:val="28"/>
        </w:rPr>
        <w:t xml:space="preserve"> 满意度指标：收益人员满意度（100%）（已审核确定的具体指标名称）。即调查中收益人员满意和较满意的数量占调查总人数的100%。</w:t>
      </w:r>
    </w:p>
    <w:p>
      <w:pPr>
        <w:spacing w:line="500" w:lineRule="exact"/>
        <w:rPr>
          <w:rFonts w:eastAsia="方正仿宋_GBK"/>
          <w:color w:val="000000"/>
          <w:sz w:val="28"/>
        </w:rPr>
      </w:pPr>
      <w:r>
        <w:rPr>
          <w:rFonts w:hint="eastAsia" w:eastAsia="方正仿宋_GBK"/>
          <w:color w:val="000000"/>
          <w:sz w:val="28"/>
        </w:rPr>
        <w:t>2、</w:t>
      </w:r>
      <w:r>
        <w:rPr>
          <w:rFonts w:eastAsia="方正仿宋_GBK"/>
          <w:color w:val="000000"/>
          <w:sz w:val="28"/>
        </w:rPr>
        <w:t>强化审判管理，着力提高审判执行质效。</w:t>
      </w:r>
    </w:p>
    <w:p>
      <w:pPr>
        <w:spacing w:line="500" w:lineRule="exact"/>
        <w:rPr>
          <w:rFonts w:eastAsia="方正仿宋_GBK"/>
          <w:color w:val="000000"/>
          <w:sz w:val="28"/>
        </w:rPr>
      </w:pPr>
      <w:r>
        <w:rPr>
          <w:rFonts w:eastAsia="方正仿宋_GBK"/>
          <w:color w:val="000000"/>
          <w:sz w:val="28"/>
        </w:rPr>
        <w:t xml:space="preserve"> 绩效指标：</w:t>
      </w:r>
    </w:p>
    <w:p>
      <w:pPr>
        <w:spacing w:line="500" w:lineRule="exact"/>
        <w:ind w:firstLine="560"/>
        <w:rPr>
          <w:rFonts w:eastAsia="方正仿宋_GBK"/>
          <w:color w:val="000000"/>
          <w:sz w:val="28"/>
        </w:rPr>
      </w:pPr>
      <w:r>
        <w:rPr>
          <w:rFonts w:eastAsia="方正仿宋_GBK"/>
          <w:color w:val="000000"/>
          <w:sz w:val="28"/>
        </w:rPr>
        <w:t xml:space="preserve"> 数量指标：202</w:t>
      </w:r>
      <w:r>
        <w:rPr>
          <w:rFonts w:hint="eastAsia" w:eastAsia="方正仿宋_GBK"/>
          <w:color w:val="000000"/>
          <w:sz w:val="28"/>
          <w:lang w:eastAsia="zh-CN"/>
        </w:rPr>
        <w:t>2</w:t>
      </w:r>
      <w:r>
        <w:rPr>
          <w:rFonts w:eastAsia="方正仿宋_GBK"/>
          <w:color w:val="000000"/>
          <w:sz w:val="28"/>
        </w:rPr>
        <w:t>年各类案件（不含执行案件）结案率达到90%以上。</w:t>
      </w:r>
    </w:p>
    <w:p>
      <w:pPr>
        <w:spacing w:line="500" w:lineRule="exact"/>
        <w:ind w:firstLine="560"/>
        <w:rPr>
          <w:rFonts w:eastAsia="方正仿宋_GBK"/>
          <w:color w:val="000000"/>
          <w:sz w:val="28"/>
        </w:rPr>
      </w:pPr>
      <w:r>
        <w:rPr>
          <w:rFonts w:eastAsia="方正仿宋_GBK"/>
          <w:color w:val="000000"/>
          <w:sz w:val="28"/>
        </w:rPr>
        <w:t xml:space="preserve"> 质量指标：提高裁判文书信息合格情况。</w:t>
      </w:r>
    </w:p>
    <w:p>
      <w:pPr>
        <w:spacing w:line="500" w:lineRule="exact"/>
        <w:ind w:firstLine="560"/>
        <w:rPr>
          <w:rFonts w:eastAsia="方正仿宋_GBK"/>
          <w:color w:val="000000"/>
          <w:sz w:val="28"/>
        </w:rPr>
      </w:pPr>
      <w:r>
        <w:rPr>
          <w:rFonts w:eastAsia="方正仿宋_GBK"/>
          <w:color w:val="000000"/>
          <w:sz w:val="28"/>
        </w:rPr>
        <w:t xml:space="preserve">  成本指标：办案业务支出平均成本低于法院系统内水平。</w:t>
      </w:r>
    </w:p>
    <w:p>
      <w:pPr>
        <w:spacing w:line="500" w:lineRule="exact"/>
        <w:ind w:firstLine="560"/>
        <w:rPr>
          <w:rFonts w:eastAsia="方正仿宋_GBK"/>
          <w:color w:val="000000"/>
          <w:sz w:val="28"/>
        </w:rPr>
      </w:pPr>
      <w:r>
        <w:rPr>
          <w:rFonts w:eastAsia="方正仿宋_GBK"/>
          <w:color w:val="000000"/>
          <w:sz w:val="28"/>
        </w:rPr>
        <w:t xml:space="preserve">  时效指标：202</w:t>
      </w:r>
      <w:r>
        <w:rPr>
          <w:rFonts w:hint="eastAsia" w:eastAsia="方正仿宋_GBK"/>
          <w:color w:val="000000"/>
          <w:sz w:val="28"/>
          <w:lang w:eastAsia="zh-CN"/>
        </w:rPr>
        <w:t>2</w:t>
      </w:r>
      <w:r>
        <w:rPr>
          <w:rFonts w:eastAsia="方正仿宋_GBK"/>
          <w:color w:val="000000"/>
          <w:sz w:val="28"/>
        </w:rPr>
        <w:t>年法定（正常）审限内结案率达98%以上。</w:t>
      </w:r>
    </w:p>
    <w:p>
      <w:pPr>
        <w:spacing w:line="500" w:lineRule="exact"/>
        <w:ind w:firstLine="560"/>
        <w:rPr>
          <w:rFonts w:eastAsia="方正仿宋_GBK"/>
          <w:color w:val="000000"/>
          <w:sz w:val="28"/>
        </w:rPr>
      </w:pPr>
      <w:r>
        <w:rPr>
          <w:rFonts w:eastAsia="方正仿宋_GBK"/>
          <w:color w:val="000000"/>
          <w:sz w:val="28"/>
        </w:rPr>
        <w:t xml:space="preserve">  社会效益指标：庭审公开直播率大于20%。</w:t>
      </w:r>
    </w:p>
    <w:p>
      <w:pPr>
        <w:spacing w:line="500" w:lineRule="exact"/>
        <w:ind w:firstLine="560"/>
        <w:rPr>
          <w:rFonts w:eastAsia="方正仿宋_GBK"/>
          <w:color w:val="000000"/>
          <w:sz w:val="28"/>
        </w:rPr>
      </w:pPr>
      <w:r>
        <w:rPr>
          <w:rFonts w:eastAsia="方正仿宋_GBK"/>
          <w:color w:val="000000"/>
          <w:sz w:val="28"/>
        </w:rPr>
        <w:t xml:space="preserve">  满意度指标：人大、政协、基层法院、律协人员等单位进行满意度测评100%。</w:t>
      </w:r>
    </w:p>
    <w:p>
      <w:pPr>
        <w:spacing w:line="500" w:lineRule="exact"/>
        <w:ind w:firstLine="560"/>
        <w:rPr>
          <w:rFonts w:eastAsia="方正仿宋_GBK"/>
          <w:color w:val="000000"/>
          <w:sz w:val="28"/>
        </w:rPr>
      </w:pPr>
      <w:r>
        <w:rPr>
          <w:rFonts w:hint="eastAsia" w:eastAsia="方正仿宋_GBK"/>
          <w:color w:val="000000"/>
          <w:sz w:val="28"/>
        </w:rPr>
        <w:t>3、</w:t>
      </w:r>
      <w:r>
        <w:rPr>
          <w:rFonts w:eastAsia="方正仿宋_GBK"/>
          <w:color w:val="000000"/>
          <w:sz w:val="28"/>
        </w:rPr>
        <w:t>加强队伍建设，着力打造一流干警队伍。</w:t>
      </w:r>
    </w:p>
    <w:p>
      <w:pPr>
        <w:spacing w:line="500" w:lineRule="exact"/>
        <w:ind w:firstLine="560"/>
        <w:rPr>
          <w:rFonts w:eastAsia="方正仿宋_GBK"/>
          <w:color w:val="000000"/>
          <w:sz w:val="28"/>
        </w:rPr>
      </w:pPr>
      <w:r>
        <w:rPr>
          <w:rFonts w:eastAsia="方正仿宋_GBK"/>
          <w:color w:val="000000"/>
          <w:sz w:val="28"/>
        </w:rPr>
        <w:t>绩效指标：</w:t>
      </w:r>
    </w:p>
    <w:p>
      <w:pPr>
        <w:spacing w:line="500" w:lineRule="exact"/>
        <w:ind w:firstLine="560"/>
        <w:rPr>
          <w:rFonts w:eastAsia="方正仿宋_GBK"/>
          <w:color w:val="000000"/>
          <w:sz w:val="28"/>
        </w:rPr>
      </w:pPr>
      <w:r>
        <w:rPr>
          <w:rFonts w:eastAsia="方正仿宋_GBK"/>
          <w:color w:val="000000"/>
          <w:sz w:val="28"/>
        </w:rPr>
        <w:t>数量指标：任职机关公务员考核、评比、监督工作完成率。即任职机关公务员考核、评比、监督工作完成次数占计划完成次数的比例。</w:t>
      </w:r>
    </w:p>
    <w:p>
      <w:pPr>
        <w:spacing w:line="500" w:lineRule="exact"/>
        <w:ind w:firstLine="560"/>
        <w:rPr>
          <w:rFonts w:eastAsia="方正仿宋_GBK"/>
          <w:color w:val="000000"/>
          <w:sz w:val="28"/>
        </w:rPr>
      </w:pPr>
      <w:r>
        <w:rPr>
          <w:rFonts w:eastAsia="方正仿宋_GBK"/>
          <w:color w:val="000000"/>
          <w:sz w:val="28"/>
        </w:rPr>
        <w:t>质量指标：考核工作完成率。即对相关人员工作完成情况与标准完成情况相比较。</w:t>
      </w:r>
    </w:p>
    <w:p>
      <w:pPr>
        <w:spacing w:line="500" w:lineRule="exact"/>
        <w:ind w:firstLine="560"/>
        <w:rPr>
          <w:rFonts w:eastAsia="方正仿宋_GBK"/>
          <w:color w:val="000000"/>
          <w:sz w:val="28"/>
        </w:rPr>
      </w:pPr>
      <w:r>
        <w:rPr>
          <w:rFonts w:eastAsia="方正仿宋_GBK"/>
          <w:color w:val="000000"/>
          <w:sz w:val="28"/>
        </w:rPr>
        <w:t>成本指标：人员支出平均成本小于等于法院系统内水平。</w:t>
      </w:r>
    </w:p>
    <w:p>
      <w:pPr>
        <w:spacing w:line="500" w:lineRule="exact"/>
        <w:ind w:firstLine="560"/>
        <w:rPr>
          <w:rFonts w:eastAsia="方正仿宋_GBK"/>
          <w:color w:val="000000"/>
          <w:sz w:val="28"/>
        </w:rPr>
      </w:pPr>
      <w:r>
        <w:rPr>
          <w:rFonts w:eastAsia="方正仿宋_GBK"/>
          <w:color w:val="000000"/>
          <w:sz w:val="28"/>
        </w:rPr>
        <w:t>时效指标：业务处理及时性(％)。即及时处理业务数占总处理数的比率。</w:t>
      </w:r>
    </w:p>
    <w:p>
      <w:pPr>
        <w:spacing w:line="500" w:lineRule="exact"/>
        <w:ind w:firstLine="560"/>
        <w:rPr>
          <w:rFonts w:eastAsia="方正仿宋_GBK"/>
          <w:color w:val="000000"/>
          <w:sz w:val="28"/>
        </w:rPr>
      </w:pPr>
      <w:r>
        <w:rPr>
          <w:rFonts w:eastAsia="方正仿宋_GBK"/>
          <w:color w:val="000000"/>
          <w:sz w:val="28"/>
        </w:rPr>
        <w:t>社会效益指标：高技能人才增长率。即当年高技能人才比例与上一年度比例相比较提高的百分点。</w:t>
      </w:r>
    </w:p>
    <w:p>
      <w:pPr>
        <w:spacing w:line="500" w:lineRule="exact"/>
        <w:ind w:firstLine="560"/>
        <w:rPr>
          <w:rFonts w:eastAsia="方正仿宋_GBK"/>
          <w:color w:val="000000"/>
          <w:sz w:val="28"/>
        </w:rPr>
      </w:pPr>
      <w:r>
        <w:rPr>
          <w:rFonts w:eastAsia="方正仿宋_GBK"/>
          <w:color w:val="000000"/>
          <w:sz w:val="28"/>
        </w:rPr>
        <w:t>满意度指标：受训学员满意度（%）。即调查中满意和较满意的受训学员数量占调查总人数的100%。</w:t>
      </w:r>
    </w:p>
    <w:p>
      <w:pPr>
        <w:numPr>
          <w:ilvl w:val="0"/>
          <w:numId w:val="1"/>
        </w:num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加强信息化建设，着力打造智慧法院</w:t>
      </w:r>
    </w:p>
    <w:p>
      <w:pPr>
        <w:spacing w:line="500" w:lineRule="exact"/>
        <w:rPr>
          <w:rFonts w:eastAsia="方正仿宋_GBK"/>
          <w:color w:val="000000"/>
          <w:sz w:val="28"/>
        </w:rPr>
      </w:pPr>
      <w:r>
        <w:rPr>
          <w:rFonts w:eastAsia="方正仿宋_GBK"/>
          <w:color w:val="000000"/>
          <w:sz w:val="28"/>
        </w:rPr>
        <w:t xml:space="preserve"> 绩效指标：</w:t>
      </w:r>
    </w:p>
    <w:p>
      <w:pPr>
        <w:spacing w:line="500" w:lineRule="exact"/>
        <w:ind w:firstLine="560"/>
        <w:rPr>
          <w:rFonts w:eastAsia="方正仿宋_GBK"/>
          <w:color w:val="000000"/>
          <w:sz w:val="28"/>
        </w:rPr>
      </w:pPr>
      <w:r>
        <w:rPr>
          <w:rFonts w:eastAsia="方正仿宋_GBK"/>
          <w:color w:val="000000"/>
          <w:sz w:val="28"/>
        </w:rPr>
        <w:t xml:space="preserve"> 数量指标：</w:t>
      </w:r>
      <w:r>
        <w:rPr>
          <w:rFonts w:hint="eastAsia" w:eastAsia="方正仿宋_GBK"/>
          <w:color w:val="000000"/>
          <w:sz w:val="28"/>
          <w:lang w:eastAsia="zh-CN"/>
        </w:rPr>
        <w:t>购置信息化产品软硬件数量</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 xml:space="preserve"> 质量指标：</w:t>
      </w:r>
      <w:r>
        <w:rPr>
          <w:rFonts w:hint="eastAsia" w:eastAsia="方正仿宋_GBK"/>
          <w:color w:val="000000"/>
          <w:sz w:val="28"/>
          <w:lang w:eastAsia="zh-CN"/>
        </w:rPr>
        <w:t>验收合格率</w:t>
      </w:r>
      <w:r>
        <w:rPr>
          <w:rFonts w:hint="eastAsia" w:eastAsia="方正仿宋_GBK"/>
          <w:color w:val="000000"/>
          <w:sz w:val="28"/>
          <w:lang w:val="en-US" w:eastAsia="zh-CN"/>
        </w:rPr>
        <w:t>100%</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 xml:space="preserve">  成本指标：</w:t>
      </w:r>
      <w:r>
        <w:rPr>
          <w:rFonts w:hint="eastAsia" w:eastAsia="方正仿宋_GBK"/>
          <w:color w:val="000000"/>
          <w:sz w:val="28"/>
          <w:lang w:eastAsia="zh-CN"/>
        </w:rPr>
        <w:t>不超过项目总成本</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 xml:space="preserve">  时效指标：</w:t>
      </w:r>
      <w:r>
        <w:rPr>
          <w:rFonts w:hint="eastAsia" w:eastAsia="方正仿宋_GBK"/>
          <w:color w:val="000000"/>
          <w:sz w:val="28"/>
          <w:lang w:eastAsia="zh-CN"/>
        </w:rPr>
        <w:t>政府采购及时性、安装及时性以及验收及时性</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lang w:eastAsia="zh-CN"/>
        </w:rPr>
        <w:t>可持续</w:t>
      </w:r>
      <w:r>
        <w:rPr>
          <w:rFonts w:eastAsia="方正仿宋_GBK"/>
          <w:color w:val="000000"/>
          <w:sz w:val="28"/>
        </w:rPr>
        <w:t>效益指标：</w:t>
      </w:r>
      <w:r>
        <w:rPr>
          <w:rFonts w:hint="eastAsia" w:eastAsia="方正仿宋_GBK"/>
          <w:color w:val="000000"/>
          <w:sz w:val="28"/>
          <w:lang w:eastAsia="zh-CN"/>
        </w:rPr>
        <w:t>不断提升法院信息化水平、智能化水平</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 xml:space="preserve">  满意度指标：</w:t>
      </w:r>
      <w:r>
        <w:rPr>
          <w:rFonts w:hint="eastAsia" w:eastAsia="方正仿宋_GBK"/>
          <w:color w:val="000000"/>
          <w:sz w:val="28"/>
          <w:lang w:eastAsia="zh-CN"/>
        </w:rPr>
        <w:t>收益群体满意度</w:t>
      </w:r>
      <w:r>
        <w:rPr>
          <w:rFonts w:hint="eastAsia" w:eastAsia="方正仿宋_GBK"/>
          <w:color w:val="000000"/>
          <w:sz w:val="28"/>
          <w:lang w:val="en-US" w:eastAsia="zh-CN"/>
        </w:rPr>
        <w:t>90</w:t>
      </w:r>
      <w:r>
        <w:rPr>
          <w:rFonts w:eastAsia="方正仿宋_GBK"/>
          <w:color w:val="000000"/>
          <w:sz w:val="28"/>
        </w:rPr>
        <w:t>%。</w:t>
      </w:r>
    </w:p>
    <w:p>
      <w:pPr>
        <w:pStyle w:val="12"/>
        <w:ind w:left="0" w:leftChars="0" w:firstLine="0" w:firstLineChars="0"/>
      </w:pPr>
    </w:p>
    <w:p>
      <w:pP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spacing w:line="500" w:lineRule="exact"/>
        <w:ind w:firstLine="560"/>
        <w:rPr>
          <w:rFonts w:eastAsia="方正仿宋_GBK"/>
          <w:color w:val="000000"/>
          <w:sz w:val="28"/>
        </w:rPr>
      </w:pPr>
      <w:r>
        <w:rPr>
          <w:rFonts w:eastAsia="方正仿宋_GBK"/>
          <w:color w:val="000000"/>
          <w:sz w:val="28"/>
        </w:rPr>
        <w:t>完善制度建设。制定完善的预算绩效管理制度、资金管理办法、工作保障制度等，为全年预算绩效目标的实现奠定制度基础。</w:t>
      </w:r>
    </w:p>
    <w:p>
      <w:pPr>
        <w:spacing w:line="500" w:lineRule="exact"/>
        <w:ind w:firstLine="560"/>
        <w:rPr>
          <w:rFonts w:eastAsia="方正仿宋_GBK"/>
          <w:color w:val="000000"/>
          <w:sz w:val="28"/>
        </w:rPr>
      </w:pPr>
      <w:r>
        <w:rPr>
          <w:rFonts w:eastAsia="方正仿宋_GBK"/>
          <w:color w:val="000000"/>
          <w:sz w:val="28"/>
        </w:rPr>
        <w:t>加强支出管理。通过优化支出结构、编细编实预算、加快履行政府采购手续、尽快启动项目、及时支付资金等多种措施，确保支出进度达标。</w:t>
      </w:r>
    </w:p>
    <w:p>
      <w:pPr>
        <w:spacing w:line="500" w:lineRule="exact"/>
        <w:ind w:firstLine="560"/>
        <w:rPr>
          <w:rFonts w:eastAsia="方正仿宋_GBK"/>
          <w:color w:val="000000"/>
          <w:sz w:val="28"/>
        </w:rPr>
      </w:pPr>
      <w:r>
        <w:rPr>
          <w:rFonts w:eastAsia="方正仿宋_GBK"/>
          <w:color w:val="000000"/>
          <w:sz w:val="28"/>
        </w:rPr>
        <w:t>加强绩效运行监控。按要求开展绩效运行监控，发现问题及时采取措施，确保绩效目标如期保质实现。</w:t>
      </w:r>
    </w:p>
    <w:p>
      <w:pPr>
        <w:spacing w:line="500" w:lineRule="exact"/>
        <w:ind w:firstLine="560"/>
        <w:rPr>
          <w:rFonts w:eastAsia="方正仿宋_GBK"/>
          <w:color w:val="000000"/>
          <w:sz w:val="28"/>
        </w:rPr>
      </w:pPr>
      <w:r>
        <w:rPr>
          <w:rFonts w:eastAsia="方正仿宋_GBK"/>
          <w:color w:val="000000"/>
          <w:sz w:val="28"/>
        </w:rPr>
        <w:t>做好绩效自评。按要求开展上年度部门预算绩效自评和重点评价工作，对评价中发现的问题及时整改，调整优化支出结构，提高财政资金使用效益。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rPr>
      </w:pPr>
      <w:r>
        <w:rPr>
          <w:rFonts w:eastAsia="方正仿宋_GBK"/>
          <w:color w:val="000000"/>
          <w:sz w:val="28"/>
        </w:rPr>
        <w:t>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rPr>
      </w:pPr>
      <w:r>
        <w:rPr>
          <w:rFonts w:eastAsia="方正仿宋_GBK"/>
          <w:color w:val="000000"/>
          <w:sz w:val="28"/>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rPr>
          <w:rFonts w:eastAsia="方正仿宋_GBK"/>
          <w:color w:val="000000"/>
          <w:sz w:val="28"/>
        </w:rPr>
      </w:pPr>
      <w:r>
        <w:rPr>
          <w:rFonts w:eastAsia="方正仿宋_GBK"/>
          <w:color w:val="000000"/>
          <w:sz w:val="28"/>
        </w:rPr>
        <w:t>加强宣传培训调研。加强人员培训，提高本部门职工业务素质；加强调研，提出优化财政资金配置、提高资金使用效益的意见；加大宣传力度，强化预算绩效管理意识，促进预算绩效管理水平进一步提升。</w:t>
      </w:r>
    </w:p>
    <w:p>
      <w:pPr>
        <w:pStyle w:val="13"/>
      </w:pPr>
    </w:p>
    <w:p>
      <w:pPr>
        <w:jc w:val="center"/>
        <w:sectPr>
          <w:pgSz w:w="11900" w:h="16840"/>
          <w:pgMar w:top="1984" w:right="1304" w:bottom="1134" w:left="1304" w:header="720" w:footer="720" w:gutter="0"/>
          <w:pgNumType w:start="1"/>
          <w:cols w:space="720" w:num="1"/>
        </w:sectPr>
      </w:pPr>
    </w:p>
    <w:p>
      <w:pPr>
        <w:jc w:val="center"/>
      </w:pPr>
    </w:p>
    <w:p>
      <w:pPr>
        <w:jc w:val="center"/>
      </w:pPr>
    </w:p>
    <w:p>
      <w:pPr>
        <w:jc w:val="center"/>
      </w:pPr>
    </w:p>
    <w:p>
      <w:pPr>
        <w:jc w:val="center"/>
      </w:pPr>
      <w:r>
        <w:rPr>
          <w:rFonts w:ascii="方正小标宋_GBK" w:hAnsi="方正小标宋_GBK" w:eastAsia="方正小标宋_GBK" w:cs="方正小标宋_GBK"/>
          <w:color w:val="000000"/>
          <w:sz w:val="44"/>
        </w:rPr>
        <w:t>第二部分</w:t>
      </w:r>
    </w:p>
    <w:p>
      <w:pPr>
        <w:jc w:val="center"/>
      </w:pP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p>
    <w:p>
      <w:pPr>
        <w:jc w:val="center"/>
      </w:pPr>
    </w:p>
    <w:p>
      <w:pPr>
        <w:ind w:firstLine="560"/>
        <w:outlineLvl w:val="3"/>
      </w:pPr>
      <w:bookmarkStart w:id="3" w:name="_Toc123030967"/>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年度办案业务经费</w:t>
      </w:r>
      <w:r>
        <w:rPr>
          <w:rFonts w:hint="eastAsia" w:ascii="方正仿宋_GBK" w:hAnsi="方正仿宋_GBK" w:eastAsia="方正仿宋_GBK" w:cs="方正仿宋_GBK"/>
          <w:color w:val="000000"/>
          <w:sz w:val="28"/>
        </w:rPr>
        <w:t>（企业破产保障经费）</w:t>
      </w:r>
      <w:r>
        <w:rPr>
          <w:rFonts w:ascii="方正仿宋_GBK" w:hAnsi="方正仿宋_GBK" w:eastAsia="方正仿宋_GBK" w:cs="方正仿宋_GBK"/>
          <w:color w:val="000000"/>
          <w:sz w:val="28"/>
        </w:rPr>
        <w:t>绩效目标表</w:t>
      </w:r>
      <w:bookmarkEnd w:id="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323001河北省承德市中级人民法院本级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13080022P00021710001R</w:t>
            </w:r>
          </w:p>
        </w:tc>
        <w:tc>
          <w:tcPr>
            <w:tcW w:w="1587" w:type="dxa"/>
            <w:vAlign w:val="center"/>
          </w:tcPr>
          <w:p>
            <w:pPr>
              <w:pStyle w:val="17"/>
            </w:pPr>
            <w:r>
              <w:t>项目名称</w:t>
            </w:r>
          </w:p>
        </w:tc>
        <w:tc>
          <w:tcPr>
            <w:tcW w:w="4422" w:type="dxa"/>
            <w:gridSpan w:val="3"/>
            <w:vAlign w:val="center"/>
          </w:tcPr>
          <w:p>
            <w:pPr>
              <w:pStyle w:val="16"/>
            </w:pPr>
            <w:r>
              <w:t>202</w:t>
            </w:r>
            <w:r>
              <w:rPr>
                <w:rFonts w:hint="eastAsia"/>
                <w:lang w:eastAsia="zh-CN"/>
              </w:rPr>
              <w:t>3</w:t>
            </w:r>
            <w:r>
              <w:t>年度办案业务经费</w:t>
            </w:r>
            <w:r>
              <w:rPr>
                <w:rFonts w:hint="eastAsia"/>
              </w:rPr>
              <w:t>（企业破产保障经费）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rPr>
                <w:rFonts w:hint="eastAsia"/>
                <w:lang w:eastAsia="zh-CN"/>
              </w:rPr>
              <w:t>292.00</w:t>
            </w:r>
          </w:p>
        </w:tc>
        <w:tc>
          <w:tcPr>
            <w:tcW w:w="1587" w:type="dxa"/>
            <w:vAlign w:val="center"/>
          </w:tcPr>
          <w:p>
            <w:pPr>
              <w:pStyle w:val="17"/>
            </w:pPr>
            <w:r>
              <w:t>其中：财政    资金</w:t>
            </w:r>
          </w:p>
        </w:tc>
        <w:tc>
          <w:tcPr>
            <w:tcW w:w="1304" w:type="dxa"/>
            <w:vAlign w:val="center"/>
          </w:tcPr>
          <w:p>
            <w:pPr>
              <w:pStyle w:val="16"/>
            </w:pPr>
            <w:r>
              <w:t>2</w:t>
            </w:r>
            <w:r>
              <w:rPr>
                <w:rFonts w:hint="eastAsia"/>
                <w:lang w:eastAsia="zh-CN"/>
              </w:rPr>
              <w:t>92</w:t>
            </w:r>
            <w:r>
              <w:t>.00</w:t>
            </w:r>
          </w:p>
        </w:tc>
        <w:tc>
          <w:tcPr>
            <w:tcW w:w="1276" w:type="dxa"/>
            <w:vAlign w:val="center"/>
          </w:tcPr>
          <w:p>
            <w:pPr>
              <w:pStyle w:val="17"/>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用于干警及聘任制书记员等人员办案业务相关支出。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1.1、提高队伍素质和执法能力。2、高质高效完成各项工作。</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结案数量</w:t>
            </w:r>
          </w:p>
          <w:p>
            <w:pPr>
              <w:pStyle w:val="16"/>
            </w:pPr>
          </w:p>
        </w:tc>
        <w:tc>
          <w:tcPr>
            <w:tcW w:w="2891" w:type="dxa"/>
            <w:vAlign w:val="center"/>
          </w:tcPr>
          <w:p>
            <w:pPr>
              <w:pStyle w:val="16"/>
            </w:pPr>
            <w:r>
              <w:t>结案数量</w:t>
            </w:r>
          </w:p>
          <w:p>
            <w:pPr>
              <w:pStyle w:val="16"/>
            </w:pPr>
          </w:p>
        </w:tc>
        <w:tc>
          <w:tcPr>
            <w:tcW w:w="1276" w:type="dxa"/>
            <w:vAlign w:val="center"/>
          </w:tcPr>
          <w:p>
            <w:pPr>
              <w:pStyle w:val="16"/>
            </w:pPr>
            <w:r>
              <w:t>≥6000件</w:t>
            </w:r>
          </w:p>
          <w:p>
            <w:pPr>
              <w:pStyle w:val="16"/>
            </w:pPr>
          </w:p>
        </w:tc>
        <w:tc>
          <w:tcPr>
            <w:tcW w:w="1843" w:type="dxa"/>
            <w:vAlign w:val="center"/>
          </w:tcPr>
          <w:p>
            <w:pPr>
              <w:pStyle w:val="16"/>
            </w:pPr>
            <w:r>
              <w:br w:type="textWrapping"/>
            </w: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裁判文书信息合格率</w:t>
            </w:r>
          </w:p>
        </w:tc>
        <w:tc>
          <w:tcPr>
            <w:tcW w:w="2891" w:type="dxa"/>
            <w:vAlign w:val="center"/>
          </w:tcPr>
          <w:p>
            <w:pPr>
              <w:pStyle w:val="16"/>
            </w:pPr>
            <w:r>
              <w:t>裁判文书信息合格率</w:t>
            </w:r>
          </w:p>
        </w:tc>
        <w:tc>
          <w:tcPr>
            <w:tcW w:w="1276" w:type="dxa"/>
            <w:vAlign w:val="center"/>
          </w:tcPr>
          <w:p>
            <w:pPr>
              <w:pStyle w:val="16"/>
            </w:pPr>
            <w:r>
              <w:t>≥100%</w:t>
            </w:r>
          </w:p>
        </w:tc>
        <w:tc>
          <w:tcPr>
            <w:tcW w:w="1843" w:type="dxa"/>
            <w:vAlign w:val="center"/>
          </w:tcPr>
          <w:p>
            <w:pPr>
              <w:pStyle w:val="16"/>
            </w:pPr>
            <w:r>
              <w:t>冀高法【2019】117号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法定(正常)审限内结案率</w:t>
            </w:r>
          </w:p>
        </w:tc>
        <w:tc>
          <w:tcPr>
            <w:tcW w:w="2891" w:type="dxa"/>
            <w:vAlign w:val="center"/>
          </w:tcPr>
          <w:p>
            <w:pPr>
              <w:pStyle w:val="16"/>
            </w:pPr>
            <w:r>
              <w:t>法定(正常)审限内结案率</w:t>
            </w:r>
          </w:p>
        </w:tc>
        <w:tc>
          <w:tcPr>
            <w:tcW w:w="1276" w:type="dxa"/>
            <w:vAlign w:val="center"/>
          </w:tcPr>
          <w:p>
            <w:pPr>
              <w:pStyle w:val="16"/>
            </w:pPr>
            <w:r>
              <w:t>≥98%</w:t>
            </w:r>
          </w:p>
        </w:tc>
        <w:tc>
          <w:tcPr>
            <w:tcW w:w="1843" w:type="dxa"/>
            <w:vAlign w:val="center"/>
          </w:tcPr>
          <w:p>
            <w:pPr>
              <w:pStyle w:val="16"/>
            </w:pPr>
            <w:r>
              <w:t>冀高法【2019】117号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不超过办案业务经费总成本</w:t>
            </w:r>
          </w:p>
        </w:tc>
        <w:tc>
          <w:tcPr>
            <w:tcW w:w="2891" w:type="dxa"/>
            <w:vAlign w:val="center"/>
          </w:tcPr>
          <w:p>
            <w:pPr>
              <w:pStyle w:val="16"/>
            </w:pPr>
            <w:r>
              <w:t>不超过办案业务经费总成本</w:t>
            </w:r>
          </w:p>
        </w:tc>
        <w:tc>
          <w:tcPr>
            <w:tcW w:w="1276" w:type="dxa"/>
            <w:vAlign w:val="center"/>
          </w:tcPr>
          <w:p>
            <w:pPr>
              <w:pStyle w:val="16"/>
            </w:pPr>
            <w:r>
              <w:t>≤</w:t>
            </w:r>
            <w:r>
              <w:rPr>
                <w:rFonts w:hint="eastAsia"/>
                <w:lang w:eastAsia="zh-CN"/>
              </w:rPr>
              <w:t>292</w:t>
            </w:r>
            <w:r>
              <w:t>万元</w:t>
            </w:r>
          </w:p>
        </w:tc>
        <w:tc>
          <w:tcPr>
            <w:tcW w:w="1843" w:type="dxa"/>
            <w:vAlign w:val="center"/>
          </w:tcPr>
          <w:p>
            <w:pPr>
              <w:pStyle w:val="16"/>
            </w:pP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庭审公开直播率</w:t>
            </w:r>
          </w:p>
        </w:tc>
        <w:tc>
          <w:tcPr>
            <w:tcW w:w="2891" w:type="dxa"/>
            <w:vAlign w:val="center"/>
          </w:tcPr>
          <w:p>
            <w:pPr>
              <w:pStyle w:val="16"/>
            </w:pPr>
            <w:r>
              <w:t>庭审公开直播率</w:t>
            </w:r>
          </w:p>
        </w:tc>
        <w:tc>
          <w:tcPr>
            <w:tcW w:w="1276" w:type="dxa"/>
            <w:vAlign w:val="center"/>
          </w:tcPr>
          <w:p>
            <w:pPr>
              <w:pStyle w:val="16"/>
            </w:pPr>
            <w:r>
              <w:t>≥20%</w:t>
            </w:r>
          </w:p>
        </w:tc>
        <w:tc>
          <w:tcPr>
            <w:tcW w:w="1843" w:type="dxa"/>
            <w:vAlign w:val="center"/>
          </w:tcPr>
          <w:p>
            <w:pPr>
              <w:pStyle w:val="16"/>
            </w:pPr>
            <w:r>
              <w:t>冀高法【2019】117号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冀高法【2019】117号</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123030968"/>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年度公务运转经费绩效目标表</w:t>
      </w:r>
      <w:bookmarkEnd w:id="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323001河北省承德市中级人民法院本级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13080022P000216100014</w:t>
            </w:r>
          </w:p>
        </w:tc>
        <w:tc>
          <w:tcPr>
            <w:tcW w:w="1587" w:type="dxa"/>
            <w:vAlign w:val="center"/>
          </w:tcPr>
          <w:p>
            <w:pPr>
              <w:pStyle w:val="17"/>
            </w:pPr>
            <w:r>
              <w:t>项目名称</w:t>
            </w:r>
          </w:p>
        </w:tc>
        <w:tc>
          <w:tcPr>
            <w:tcW w:w="4422" w:type="dxa"/>
            <w:gridSpan w:val="3"/>
            <w:vAlign w:val="center"/>
          </w:tcPr>
          <w:p>
            <w:pPr>
              <w:pStyle w:val="16"/>
            </w:pPr>
            <w:r>
              <w:t>202</w:t>
            </w:r>
            <w:r>
              <w:rPr>
                <w:rFonts w:hint="eastAsia"/>
                <w:lang w:eastAsia="zh-CN"/>
              </w:rPr>
              <w:t>3</w:t>
            </w:r>
            <w:r>
              <w:t>年度公务运转经费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rPr>
                <w:rFonts w:hint="eastAsia"/>
                <w:lang w:eastAsia="zh-CN"/>
              </w:rPr>
              <w:t>921.38</w:t>
            </w:r>
          </w:p>
        </w:tc>
        <w:tc>
          <w:tcPr>
            <w:tcW w:w="1587" w:type="dxa"/>
            <w:vAlign w:val="center"/>
          </w:tcPr>
          <w:p>
            <w:pPr>
              <w:pStyle w:val="17"/>
            </w:pPr>
            <w:r>
              <w:t>其中：财政    资金</w:t>
            </w:r>
          </w:p>
        </w:tc>
        <w:tc>
          <w:tcPr>
            <w:tcW w:w="1304" w:type="dxa"/>
            <w:vAlign w:val="center"/>
          </w:tcPr>
          <w:p>
            <w:pPr>
              <w:pStyle w:val="16"/>
            </w:pPr>
            <w:r>
              <w:rPr>
                <w:rFonts w:hint="eastAsia"/>
                <w:lang w:eastAsia="zh-CN"/>
              </w:rPr>
              <w:t>921.38</w:t>
            </w:r>
          </w:p>
        </w:tc>
        <w:tc>
          <w:tcPr>
            <w:tcW w:w="1276" w:type="dxa"/>
            <w:vAlign w:val="center"/>
          </w:tcPr>
          <w:p>
            <w:pPr>
              <w:pStyle w:val="17"/>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用于我院公务运转支出。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1.1、提高队伍素质和执法能力。2、高质高效完成各项工作。</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房屋维护面积</w:t>
            </w:r>
          </w:p>
        </w:tc>
        <w:tc>
          <w:tcPr>
            <w:tcW w:w="2891" w:type="dxa"/>
            <w:vAlign w:val="center"/>
          </w:tcPr>
          <w:p>
            <w:pPr>
              <w:pStyle w:val="16"/>
            </w:pPr>
            <w:r>
              <w:t>房屋维护面积</w:t>
            </w:r>
          </w:p>
        </w:tc>
        <w:tc>
          <w:tcPr>
            <w:tcW w:w="1276" w:type="dxa"/>
            <w:vAlign w:val="center"/>
          </w:tcPr>
          <w:p>
            <w:pPr>
              <w:pStyle w:val="16"/>
            </w:pPr>
            <w:r>
              <w:t>28187平方米</w:t>
            </w:r>
          </w:p>
        </w:tc>
        <w:tc>
          <w:tcPr>
            <w:tcW w:w="1843" w:type="dxa"/>
            <w:vAlign w:val="center"/>
          </w:tcPr>
          <w:p>
            <w:pPr>
              <w:pStyle w:val="16"/>
            </w:pPr>
            <w:r>
              <w:t>单位实际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公务运转经费支出准确率</w:t>
            </w:r>
          </w:p>
        </w:tc>
        <w:tc>
          <w:tcPr>
            <w:tcW w:w="2891" w:type="dxa"/>
            <w:vAlign w:val="center"/>
          </w:tcPr>
          <w:p>
            <w:pPr>
              <w:pStyle w:val="16"/>
            </w:pPr>
            <w:r>
              <w:t>公务运转经费支出准确率</w:t>
            </w:r>
          </w:p>
        </w:tc>
        <w:tc>
          <w:tcPr>
            <w:tcW w:w="1276" w:type="dxa"/>
            <w:vAlign w:val="center"/>
          </w:tcPr>
          <w:p>
            <w:pPr>
              <w:pStyle w:val="16"/>
            </w:pPr>
            <w:r>
              <w:t>100%</w:t>
            </w:r>
          </w:p>
        </w:tc>
        <w:tc>
          <w:tcPr>
            <w:tcW w:w="1843" w:type="dxa"/>
            <w:vAlign w:val="center"/>
          </w:tcPr>
          <w:p>
            <w:pPr>
              <w:pStyle w:val="16"/>
            </w:pP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公务运转经费支出及时率</w:t>
            </w:r>
          </w:p>
          <w:p>
            <w:pPr>
              <w:pStyle w:val="16"/>
            </w:pPr>
          </w:p>
        </w:tc>
        <w:tc>
          <w:tcPr>
            <w:tcW w:w="2891" w:type="dxa"/>
            <w:vAlign w:val="center"/>
          </w:tcPr>
          <w:p>
            <w:pPr>
              <w:pStyle w:val="16"/>
            </w:pPr>
            <w:r>
              <w:t>公务运转经费支出及时率</w:t>
            </w:r>
          </w:p>
          <w:p>
            <w:pPr>
              <w:pStyle w:val="16"/>
            </w:pPr>
          </w:p>
        </w:tc>
        <w:tc>
          <w:tcPr>
            <w:tcW w:w="1276" w:type="dxa"/>
            <w:vAlign w:val="center"/>
          </w:tcPr>
          <w:p>
            <w:pPr>
              <w:pStyle w:val="16"/>
            </w:pPr>
            <w:r>
              <w:t>100%</w:t>
            </w:r>
          </w:p>
        </w:tc>
        <w:tc>
          <w:tcPr>
            <w:tcW w:w="1843" w:type="dxa"/>
            <w:vAlign w:val="center"/>
          </w:tcPr>
          <w:p>
            <w:pPr>
              <w:pStyle w:val="16"/>
            </w:pP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公务运转支出总成本</w:t>
            </w:r>
          </w:p>
        </w:tc>
        <w:tc>
          <w:tcPr>
            <w:tcW w:w="2891" w:type="dxa"/>
            <w:vAlign w:val="center"/>
          </w:tcPr>
          <w:p>
            <w:pPr>
              <w:pStyle w:val="16"/>
            </w:pPr>
            <w:r>
              <w:t>公务运转支出总成本</w:t>
            </w:r>
          </w:p>
        </w:tc>
        <w:tc>
          <w:tcPr>
            <w:tcW w:w="1276" w:type="dxa"/>
            <w:vAlign w:val="center"/>
          </w:tcPr>
          <w:p>
            <w:pPr>
              <w:pStyle w:val="16"/>
            </w:pPr>
            <w:r>
              <w:t>≤</w:t>
            </w:r>
            <w:r>
              <w:rPr>
                <w:rFonts w:hint="eastAsia"/>
                <w:lang w:eastAsia="zh-CN"/>
              </w:rPr>
              <w:t>921.38</w:t>
            </w:r>
            <w:r>
              <w:t>万元</w:t>
            </w:r>
          </w:p>
        </w:tc>
        <w:tc>
          <w:tcPr>
            <w:tcW w:w="1843" w:type="dxa"/>
            <w:vAlign w:val="center"/>
          </w:tcPr>
          <w:p>
            <w:pPr>
              <w:pStyle w:val="16"/>
            </w:pP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正常办公条件保障情况</w:t>
            </w:r>
          </w:p>
        </w:tc>
        <w:tc>
          <w:tcPr>
            <w:tcW w:w="2891" w:type="dxa"/>
            <w:vAlign w:val="center"/>
          </w:tcPr>
          <w:p>
            <w:pPr>
              <w:pStyle w:val="16"/>
            </w:pPr>
            <w:r>
              <w:t>正常办公条件保障情况</w:t>
            </w:r>
          </w:p>
        </w:tc>
        <w:tc>
          <w:tcPr>
            <w:tcW w:w="1276" w:type="dxa"/>
            <w:vAlign w:val="center"/>
          </w:tcPr>
          <w:p>
            <w:pPr>
              <w:pStyle w:val="16"/>
            </w:pPr>
            <w:r>
              <w:t>良好</w:t>
            </w:r>
          </w:p>
        </w:tc>
        <w:tc>
          <w:tcPr>
            <w:tcW w:w="1843" w:type="dxa"/>
            <w:vAlign w:val="center"/>
          </w:tcPr>
          <w:p>
            <w:pPr>
              <w:pStyle w:val="16"/>
            </w:pPr>
            <w:r>
              <w:t>法院工作要求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使用节能减排产品</w:t>
            </w:r>
          </w:p>
        </w:tc>
        <w:tc>
          <w:tcPr>
            <w:tcW w:w="2891" w:type="dxa"/>
            <w:vAlign w:val="center"/>
          </w:tcPr>
          <w:p>
            <w:pPr>
              <w:pStyle w:val="16"/>
            </w:pPr>
            <w:r>
              <w:t>使用节能减排产品</w:t>
            </w:r>
          </w:p>
        </w:tc>
        <w:tc>
          <w:tcPr>
            <w:tcW w:w="1276" w:type="dxa"/>
            <w:vAlign w:val="center"/>
          </w:tcPr>
          <w:p>
            <w:pPr>
              <w:pStyle w:val="16"/>
            </w:pPr>
            <w:r>
              <w:t>持续使用</w:t>
            </w:r>
          </w:p>
        </w:tc>
        <w:tc>
          <w:tcPr>
            <w:tcW w:w="1843" w:type="dxa"/>
            <w:vAlign w:val="center"/>
          </w:tcPr>
          <w:p>
            <w:pPr>
              <w:pStyle w:val="16"/>
            </w:pPr>
            <w:r>
              <w:t>法院工作要求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机关工作人员满意率</w:t>
            </w:r>
          </w:p>
        </w:tc>
        <w:tc>
          <w:tcPr>
            <w:tcW w:w="2891" w:type="dxa"/>
            <w:vAlign w:val="center"/>
          </w:tcPr>
          <w:p>
            <w:pPr>
              <w:pStyle w:val="16"/>
            </w:pPr>
            <w:r>
              <w:t>机关工作人员满意率</w:t>
            </w:r>
          </w:p>
        </w:tc>
        <w:tc>
          <w:tcPr>
            <w:tcW w:w="1276" w:type="dxa"/>
            <w:vAlign w:val="center"/>
          </w:tcPr>
          <w:p>
            <w:pPr>
              <w:pStyle w:val="16"/>
            </w:pPr>
            <w:r>
              <w:rPr>
                <w:rFonts w:hint="eastAsia"/>
                <w:lang w:eastAsia="zh-CN"/>
              </w:rPr>
              <w:t>9</w:t>
            </w:r>
            <w:r>
              <w:t>0%</w:t>
            </w:r>
          </w:p>
        </w:tc>
        <w:tc>
          <w:tcPr>
            <w:tcW w:w="1843" w:type="dxa"/>
            <w:vAlign w:val="center"/>
          </w:tcPr>
          <w:p>
            <w:pPr>
              <w:pStyle w:val="16"/>
            </w:pPr>
            <w:r>
              <w:t>单位要求</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123030969"/>
      <w:r>
        <w:rPr>
          <w:rFonts w:ascii="方正仿宋_GBK" w:hAnsi="方正仿宋_GBK" w:eastAsia="方正仿宋_GBK" w:cs="方正仿宋_GBK"/>
          <w:color w:val="000000"/>
          <w:sz w:val="28"/>
        </w:rPr>
        <w:t>3.202</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年度聘用制书记员经费绩效目标表</w:t>
      </w:r>
      <w:bookmarkEnd w:id="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323001河北省承德市中级人民法院本级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13080022P000219100015</w:t>
            </w:r>
          </w:p>
        </w:tc>
        <w:tc>
          <w:tcPr>
            <w:tcW w:w="1587" w:type="dxa"/>
            <w:vAlign w:val="center"/>
          </w:tcPr>
          <w:p>
            <w:pPr>
              <w:pStyle w:val="17"/>
            </w:pPr>
            <w:r>
              <w:t>项目名称</w:t>
            </w:r>
          </w:p>
        </w:tc>
        <w:tc>
          <w:tcPr>
            <w:tcW w:w="4422" w:type="dxa"/>
            <w:gridSpan w:val="3"/>
            <w:vAlign w:val="center"/>
          </w:tcPr>
          <w:p>
            <w:pPr>
              <w:pStyle w:val="16"/>
            </w:pPr>
            <w:r>
              <w:t>202</w:t>
            </w:r>
            <w:r>
              <w:rPr>
                <w:rFonts w:hint="eastAsia"/>
                <w:lang w:eastAsia="zh-CN"/>
              </w:rPr>
              <w:t>3</w:t>
            </w:r>
            <w:r>
              <w:t>年度聘用制书记员经费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336.08</w:t>
            </w:r>
          </w:p>
        </w:tc>
        <w:tc>
          <w:tcPr>
            <w:tcW w:w="1587" w:type="dxa"/>
            <w:vAlign w:val="center"/>
          </w:tcPr>
          <w:p>
            <w:pPr>
              <w:pStyle w:val="17"/>
            </w:pPr>
            <w:r>
              <w:t>其中：财政    资金</w:t>
            </w:r>
          </w:p>
        </w:tc>
        <w:tc>
          <w:tcPr>
            <w:tcW w:w="1304" w:type="dxa"/>
            <w:vAlign w:val="center"/>
          </w:tcPr>
          <w:p>
            <w:pPr>
              <w:pStyle w:val="16"/>
            </w:pPr>
            <w:r>
              <w:t>336.08</w:t>
            </w:r>
          </w:p>
        </w:tc>
        <w:tc>
          <w:tcPr>
            <w:tcW w:w="1276" w:type="dxa"/>
            <w:vAlign w:val="center"/>
          </w:tcPr>
          <w:p>
            <w:pPr>
              <w:pStyle w:val="17"/>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用于聘任制书记员工资及社保支出。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1.用于聘用制书记员薪酬发放及五险一金缴纳。1、充实司法辅助人员力量。2、提高队伍素质和执法能力。3、高质高效完成各项工作。</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总人数</w:t>
            </w:r>
          </w:p>
        </w:tc>
        <w:tc>
          <w:tcPr>
            <w:tcW w:w="2891" w:type="dxa"/>
            <w:vAlign w:val="center"/>
          </w:tcPr>
          <w:p>
            <w:pPr>
              <w:pStyle w:val="16"/>
            </w:pPr>
            <w:r>
              <w:t>总人数</w:t>
            </w:r>
          </w:p>
        </w:tc>
        <w:tc>
          <w:tcPr>
            <w:tcW w:w="1276" w:type="dxa"/>
            <w:vAlign w:val="center"/>
          </w:tcPr>
          <w:p>
            <w:pPr>
              <w:pStyle w:val="16"/>
            </w:pPr>
            <w:r>
              <w:t>60人</w:t>
            </w:r>
          </w:p>
        </w:tc>
        <w:tc>
          <w:tcPr>
            <w:tcW w:w="1843" w:type="dxa"/>
            <w:vAlign w:val="center"/>
          </w:tcPr>
          <w:p>
            <w:pPr>
              <w:pStyle w:val="16"/>
            </w:pPr>
            <w:r>
              <w:t>冀高法发【2018】9号规定的聘用制书记员配备标准。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按规范整理卷宗，保质量完成</w:t>
            </w:r>
          </w:p>
          <w:p>
            <w:pPr>
              <w:pStyle w:val="16"/>
            </w:pPr>
          </w:p>
        </w:tc>
        <w:tc>
          <w:tcPr>
            <w:tcW w:w="2891" w:type="dxa"/>
            <w:vAlign w:val="center"/>
          </w:tcPr>
          <w:p>
            <w:pPr>
              <w:pStyle w:val="16"/>
            </w:pPr>
            <w:r>
              <w:t>按规范整理卷宗，保质量完成</w:t>
            </w:r>
          </w:p>
          <w:p>
            <w:pPr>
              <w:pStyle w:val="16"/>
            </w:pPr>
          </w:p>
        </w:tc>
        <w:tc>
          <w:tcPr>
            <w:tcW w:w="1276" w:type="dxa"/>
            <w:vAlign w:val="center"/>
          </w:tcPr>
          <w:p>
            <w:pPr>
              <w:pStyle w:val="16"/>
            </w:pPr>
            <w:r>
              <w:t>按照《人民法院诉讼文书材料立卷规范》</w:t>
            </w:r>
          </w:p>
          <w:p>
            <w:pPr>
              <w:pStyle w:val="16"/>
            </w:pPr>
          </w:p>
        </w:tc>
        <w:tc>
          <w:tcPr>
            <w:tcW w:w="1843" w:type="dxa"/>
            <w:vAlign w:val="center"/>
          </w:tcPr>
          <w:p>
            <w:pPr>
              <w:pStyle w:val="16"/>
            </w:pPr>
            <w:r>
              <w:t>《人民法院诉讼文书材料立卷规范》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按期整理卷宗归档</w:t>
            </w:r>
          </w:p>
          <w:p>
            <w:pPr>
              <w:pStyle w:val="16"/>
            </w:pPr>
          </w:p>
        </w:tc>
        <w:tc>
          <w:tcPr>
            <w:tcW w:w="2891" w:type="dxa"/>
            <w:vAlign w:val="center"/>
          </w:tcPr>
          <w:p>
            <w:pPr>
              <w:pStyle w:val="16"/>
            </w:pPr>
            <w:r>
              <w:t>按期整理卷宗归档</w:t>
            </w:r>
          </w:p>
          <w:p>
            <w:pPr>
              <w:pStyle w:val="16"/>
            </w:pPr>
          </w:p>
        </w:tc>
        <w:tc>
          <w:tcPr>
            <w:tcW w:w="1276" w:type="dxa"/>
            <w:vAlign w:val="center"/>
          </w:tcPr>
          <w:p>
            <w:pPr>
              <w:pStyle w:val="16"/>
            </w:pPr>
            <w:r>
              <w:t>结案后三个月内，特殊案件除外。</w:t>
            </w:r>
          </w:p>
          <w:p>
            <w:pPr>
              <w:pStyle w:val="16"/>
            </w:pPr>
          </w:p>
        </w:tc>
        <w:tc>
          <w:tcPr>
            <w:tcW w:w="1843" w:type="dxa"/>
            <w:vAlign w:val="center"/>
          </w:tcPr>
          <w:p>
            <w:pPr>
              <w:pStyle w:val="16"/>
            </w:pPr>
            <w:r>
              <w:t>《人民法院诉讼文书材料立卷规范》</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劳务派遣人员月全额工资</w:t>
            </w:r>
          </w:p>
        </w:tc>
        <w:tc>
          <w:tcPr>
            <w:tcW w:w="2891" w:type="dxa"/>
            <w:vAlign w:val="center"/>
          </w:tcPr>
          <w:p>
            <w:pPr>
              <w:pStyle w:val="16"/>
            </w:pPr>
            <w:r>
              <w:t>劳务派遣人员月全额工资</w:t>
            </w:r>
          </w:p>
        </w:tc>
        <w:tc>
          <w:tcPr>
            <w:tcW w:w="1276" w:type="dxa"/>
            <w:vAlign w:val="center"/>
          </w:tcPr>
          <w:p>
            <w:pPr>
              <w:pStyle w:val="16"/>
            </w:pPr>
            <w:r>
              <w:t>≥3532元</w:t>
            </w:r>
          </w:p>
        </w:tc>
        <w:tc>
          <w:tcPr>
            <w:tcW w:w="1843" w:type="dxa"/>
            <w:vAlign w:val="center"/>
          </w:tcPr>
          <w:p>
            <w:pPr>
              <w:pStyle w:val="16"/>
            </w:pPr>
            <w:r>
              <w:t>承财政法【2021】104号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提高司法工作效率</w:t>
            </w:r>
          </w:p>
        </w:tc>
        <w:tc>
          <w:tcPr>
            <w:tcW w:w="2891" w:type="dxa"/>
            <w:vAlign w:val="center"/>
          </w:tcPr>
          <w:p>
            <w:pPr>
              <w:pStyle w:val="16"/>
            </w:pPr>
            <w:r>
              <w:t>提高司法工作效率</w:t>
            </w:r>
          </w:p>
        </w:tc>
        <w:tc>
          <w:tcPr>
            <w:tcW w:w="1276" w:type="dxa"/>
            <w:vAlign w:val="center"/>
          </w:tcPr>
          <w:p>
            <w:pPr>
              <w:pStyle w:val="16"/>
            </w:pPr>
            <w:r>
              <w:t>持续提升</w:t>
            </w:r>
          </w:p>
        </w:tc>
        <w:tc>
          <w:tcPr>
            <w:tcW w:w="1843" w:type="dxa"/>
            <w:vAlign w:val="center"/>
          </w:tcPr>
          <w:p>
            <w:pPr>
              <w:pStyle w:val="16"/>
            </w:pPr>
            <w:r>
              <w:t>冀高法发【2018】9号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承中法发【2020】22号</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123030970"/>
      <w:r>
        <w:rPr>
          <w:rFonts w:ascii="方正仿宋_GBK" w:hAnsi="方正仿宋_GBK" w:eastAsia="方正仿宋_GBK" w:cs="方正仿宋_GBK"/>
          <w:color w:val="000000"/>
          <w:sz w:val="28"/>
        </w:rPr>
        <w:t>4.202</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年度人民陪审员</w:t>
      </w:r>
      <w:r>
        <w:rPr>
          <w:rFonts w:hint="eastAsia" w:ascii="方正仿宋_GBK" w:hAnsi="方正仿宋_GBK" w:eastAsia="方正仿宋_GBK" w:cs="方正仿宋_GBK"/>
          <w:color w:val="000000"/>
          <w:sz w:val="28"/>
        </w:rPr>
        <w:t>(调解员）</w:t>
      </w:r>
      <w:r>
        <w:rPr>
          <w:rFonts w:ascii="方正仿宋_GBK" w:hAnsi="方正仿宋_GBK" w:eastAsia="方正仿宋_GBK" w:cs="方正仿宋_GBK"/>
          <w:color w:val="000000"/>
          <w:sz w:val="28"/>
        </w:rPr>
        <w:t>经费绩效目标表</w:t>
      </w:r>
      <w:bookmarkEnd w:id="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323001河北省承德市中级人民法院本级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13080022P00021510001E</w:t>
            </w:r>
          </w:p>
        </w:tc>
        <w:tc>
          <w:tcPr>
            <w:tcW w:w="1587" w:type="dxa"/>
            <w:vAlign w:val="center"/>
          </w:tcPr>
          <w:p>
            <w:pPr>
              <w:pStyle w:val="17"/>
            </w:pPr>
            <w:r>
              <w:t>项目名称</w:t>
            </w:r>
          </w:p>
        </w:tc>
        <w:tc>
          <w:tcPr>
            <w:tcW w:w="4422" w:type="dxa"/>
            <w:gridSpan w:val="3"/>
            <w:vAlign w:val="center"/>
          </w:tcPr>
          <w:p>
            <w:pPr>
              <w:pStyle w:val="16"/>
            </w:pPr>
            <w:r>
              <w:t>202</w:t>
            </w:r>
            <w:r>
              <w:rPr>
                <w:rFonts w:hint="eastAsia"/>
                <w:lang w:eastAsia="zh-CN"/>
              </w:rPr>
              <w:t>3</w:t>
            </w:r>
            <w:r>
              <w:t>年度人民陪审员</w:t>
            </w:r>
            <w:r>
              <w:rPr>
                <w:rFonts w:hint="eastAsia"/>
              </w:rPr>
              <w:t>(调解员）</w:t>
            </w:r>
            <w:r>
              <w:t>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304" w:type="dxa"/>
            <w:vAlign w:val="center"/>
          </w:tcPr>
          <w:p>
            <w:pPr>
              <w:pStyle w:val="16"/>
            </w:pPr>
            <w:r>
              <w:t>20.00</w:t>
            </w:r>
          </w:p>
        </w:tc>
        <w:tc>
          <w:tcPr>
            <w:tcW w:w="1276" w:type="dxa"/>
            <w:vAlign w:val="center"/>
          </w:tcPr>
          <w:p>
            <w:pPr>
              <w:pStyle w:val="17"/>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用于人民陪审员相关支出。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1.保障人民群众的知情权、参与权和监督权，促进司法公开、保障司法公正、增强司法公信力，构架人民法院与人民群众的沟通桥梁，形成法官与人民陪审员的优势互补。</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人民陪审员数量</w:t>
            </w:r>
          </w:p>
        </w:tc>
        <w:tc>
          <w:tcPr>
            <w:tcW w:w="2891" w:type="dxa"/>
            <w:vAlign w:val="center"/>
          </w:tcPr>
          <w:p>
            <w:pPr>
              <w:pStyle w:val="16"/>
            </w:pPr>
            <w:r>
              <w:t>人民陪审员数量</w:t>
            </w:r>
          </w:p>
        </w:tc>
        <w:tc>
          <w:tcPr>
            <w:tcW w:w="1276" w:type="dxa"/>
            <w:vAlign w:val="center"/>
          </w:tcPr>
          <w:p>
            <w:pPr>
              <w:pStyle w:val="16"/>
            </w:pPr>
            <w:r>
              <w:t>≥50人</w:t>
            </w:r>
          </w:p>
        </w:tc>
        <w:tc>
          <w:tcPr>
            <w:tcW w:w="1843" w:type="dxa"/>
            <w:vAlign w:val="center"/>
          </w:tcPr>
          <w:p>
            <w:pPr>
              <w:pStyle w:val="16"/>
            </w:pPr>
            <w:r>
              <w:t>中院工作计划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裁判文书信息合格率</w:t>
            </w:r>
          </w:p>
        </w:tc>
        <w:tc>
          <w:tcPr>
            <w:tcW w:w="2891" w:type="dxa"/>
            <w:vAlign w:val="center"/>
          </w:tcPr>
          <w:p>
            <w:pPr>
              <w:pStyle w:val="16"/>
            </w:pPr>
            <w:r>
              <w:t>裁判文书信息合格率</w:t>
            </w:r>
          </w:p>
        </w:tc>
        <w:tc>
          <w:tcPr>
            <w:tcW w:w="1276" w:type="dxa"/>
            <w:vAlign w:val="center"/>
          </w:tcPr>
          <w:p>
            <w:pPr>
              <w:pStyle w:val="16"/>
            </w:pPr>
            <w:r>
              <w:t>100%</w:t>
            </w:r>
          </w:p>
        </w:tc>
        <w:tc>
          <w:tcPr>
            <w:tcW w:w="1843" w:type="dxa"/>
            <w:vAlign w:val="center"/>
          </w:tcPr>
          <w:p>
            <w:pPr>
              <w:pStyle w:val="16"/>
            </w:pPr>
            <w:r>
              <w:t>冀高法【2019】117号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法定(正常)审限内结案率</w:t>
            </w:r>
          </w:p>
        </w:tc>
        <w:tc>
          <w:tcPr>
            <w:tcW w:w="2891" w:type="dxa"/>
            <w:vAlign w:val="center"/>
          </w:tcPr>
          <w:p>
            <w:pPr>
              <w:pStyle w:val="16"/>
            </w:pPr>
            <w:r>
              <w:t>法定(正常)审限内结案率</w:t>
            </w:r>
          </w:p>
        </w:tc>
        <w:tc>
          <w:tcPr>
            <w:tcW w:w="1276" w:type="dxa"/>
            <w:vAlign w:val="center"/>
          </w:tcPr>
          <w:p>
            <w:pPr>
              <w:pStyle w:val="16"/>
            </w:pPr>
            <w:r>
              <w:t>≥90%</w:t>
            </w:r>
          </w:p>
        </w:tc>
        <w:tc>
          <w:tcPr>
            <w:tcW w:w="1843" w:type="dxa"/>
            <w:vAlign w:val="center"/>
          </w:tcPr>
          <w:p>
            <w:pPr>
              <w:pStyle w:val="16"/>
            </w:pPr>
            <w:r>
              <w:t>冀高法【2019】117号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不超过人民陪审员总成本</w:t>
            </w:r>
          </w:p>
        </w:tc>
        <w:tc>
          <w:tcPr>
            <w:tcW w:w="2891" w:type="dxa"/>
            <w:vAlign w:val="center"/>
          </w:tcPr>
          <w:p>
            <w:pPr>
              <w:pStyle w:val="16"/>
            </w:pPr>
            <w:r>
              <w:t>不超过人民陪审员总成本</w:t>
            </w:r>
          </w:p>
        </w:tc>
        <w:tc>
          <w:tcPr>
            <w:tcW w:w="1276" w:type="dxa"/>
            <w:vAlign w:val="center"/>
          </w:tcPr>
          <w:p>
            <w:pPr>
              <w:pStyle w:val="16"/>
            </w:pPr>
            <w:r>
              <w:t>≤34.6万元</w:t>
            </w:r>
          </w:p>
        </w:tc>
        <w:tc>
          <w:tcPr>
            <w:tcW w:w="1843" w:type="dxa"/>
            <w:vAlign w:val="center"/>
          </w:tcPr>
          <w:p>
            <w:pPr>
              <w:pStyle w:val="16"/>
            </w:pPr>
            <w:r>
              <w:t>单位实际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提升司法公信度</w:t>
            </w:r>
          </w:p>
        </w:tc>
        <w:tc>
          <w:tcPr>
            <w:tcW w:w="2891" w:type="dxa"/>
            <w:vAlign w:val="center"/>
          </w:tcPr>
          <w:p>
            <w:pPr>
              <w:pStyle w:val="16"/>
            </w:pPr>
            <w:r>
              <w:t>提升司法公信度</w:t>
            </w:r>
          </w:p>
        </w:tc>
        <w:tc>
          <w:tcPr>
            <w:tcW w:w="1276" w:type="dxa"/>
            <w:vAlign w:val="center"/>
          </w:tcPr>
          <w:p>
            <w:pPr>
              <w:pStyle w:val="16"/>
            </w:pPr>
            <w:r>
              <w:t>持续提升</w:t>
            </w:r>
          </w:p>
        </w:tc>
        <w:tc>
          <w:tcPr>
            <w:tcW w:w="1843" w:type="dxa"/>
            <w:vAlign w:val="center"/>
          </w:tcPr>
          <w:p>
            <w:pPr>
              <w:pStyle w:val="16"/>
            </w:pPr>
            <w:r>
              <w:t>依据承德中院法官处工作计划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依据承德中院法官处工作计划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123030971"/>
      <w:r>
        <w:rPr>
          <w:rFonts w:ascii="方正仿宋_GBK" w:hAnsi="方正仿宋_GBK" w:eastAsia="方正仿宋_GBK" w:cs="方正仿宋_GBK"/>
          <w:color w:val="000000"/>
          <w:sz w:val="28"/>
        </w:rPr>
        <w:t>5.202</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年度维修维护费绩效目标表</w:t>
      </w:r>
      <w:bookmarkEnd w:id="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323001河北省承德市中级人民法院本级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13080022P00021810001F</w:t>
            </w:r>
          </w:p>
        </w:tc>
        <w:tc>
          <w:tcPr>
            <w:tcW w:w="1587" w:type="dxa"/>
            <w:vAlign w:val="center"/>
          </w:tcPr>
          <w:p>
            <w:pPr>
              <w:pStyle w:val="17"/>
            </w:pPr>
            <w:r>
              <w:t>项目名称</w:t>
            </w:r>
          </w:p>
        </w:tc>
        <w:tc>
          <w:tcPr>
            <w:tcW w:w="4422" w:type="dxa"/>
            <w:gridSpan w:val="3"/>
            <w:vAlign w:val="center"/>
          </w:tcPr>
          <w:p>
            <w:pPr>
              <w:pStyle w:val="16"/>
            </w:pPr>
            <w:r>
              <w:t>202</w:t>
            </w:r>
            <w:r>
              <w:rPr>
                <w:rFonts w:hint="eastAsia"/>
                <w:lang w:eastAsia="zh-CN"/>
              </w:rPr>
              <w:t>3</w:t>
            </w:r>
            <w:r>
              <w:t>年度维修维护费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rPr>
                <w:rFonts w:hint="eastAsia"/>
                <w:lang w:eastAsia="zh-CN"/>
              </w:rPr>
            </w:pPr>
            <w:r>
              <w:rPr>
                <w:rFonts w:hint="eastAsia"/>
                <w:lang w:eastAsia="zh-CN"/>
              </w:rPr>
              <w:t>400</w:t>
            </w:r>
          </w:p>
        </w:tc>
        <w:tc>
          <w:tcPr>
            <w:tcW w:w="1587" w:type="dxa"/>
            <w:vAlign w:val="center"/>
          </w:tcPr>
          <w:p>
            <w:pPr>
              <w:pStyle w:val="17"/>
            </w:pPr>
            <w:r>
              <w:t>其中：财政    资金</w:t>
            </w:r>
          </w:p>
        </w:tc>
        <w:tc>
          <w:tcPr>
            <w:tcW w:w="1304" w:type="dxa"/>
            <w:vAlign w:val="center"/>
          </w:tcPr>
          <w:p>
            <w:pPr>
              <w:pStyle w:val="16"/>
              <w:rPr>
                <w:rFonts w:hint="eastAsia"/>
                <w:lang w:eastAsia="zh-CN"/>
              </w:rPr>
            </w:pPr>
            <w:r>
              <w:rPr>
                <w:rFonts w:hint="eastAsia"/>
                <w:lang w:eastAsia="zh-CN"/>
              </w:rPr>
              <w:t>400</w:t>
            </w:r>
          </w:p>
        </w:tc>
        <w:tc>
          <w:tcPr>
            <w:tcW w:w="1276" w:type="dxa"/>
            <w:vAlign w:val="center"/>
          </w:tcPr>
          <w:p>
            <w:pPr>
              <w:pStyle w:val="17"/>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用于大楼日常维修维护。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1.合理安排财政资金支出计划，遵循单位财务规章制度，在预算内按进度支出；保障机关正常运转，服务于机关全年目标任务。</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rPr>
                <w:rFonts w:hint="eastAsia"/>
              </w:rPr>
            </w:pPr>
            <w:r>
              <w:t>维护楼体面积</w:t>
            </w:r>
          </w:p>
        </w:tc>
        <w:tc>
          <w:tcPr>
            <w:tcW w:w="2891" w:type="dxa"/>
            <w:vAlign w:val="center"/>
          </w:tcPr>
          <w:p>
            <w:pPr>
              <w:pStyle w:val="16"/>
            </w:pPr>
            <w:r>
              <w:t>维护楼体面积</w:t>
            </w:r>
          </w:p>
          <w:p>
            <w:pPr>
              <w:pStyle w:val="16"/>
            </w:pPr>
          </w:p>
        </w:tc>
        <w:tc>
          <w:tcPr>
            <w:tcW w:w="1276" w:type="dxa"/>
            <w:vAlign w:val="center"/>
          </w:tcPr>
          <w:p>
            <w:pPr>
              <w:pStyle w:val="16"/>
            </w:pPr>
            <w:r>
              <w:br w:type="textWrapping"/>
            </w:r>
            <w:r>
              <w:t>≥3640</w:t>
            </w:r>
            <w:r>
              <w:rPr>
                <w:rFonts w:hint="eastAsia"/>
              </w:rPr>
              <w:t>平方</w:t>
            </w:r>
            <w:r>
              <w:t>米</w:t>
            </w:r>
          </w:p>
        </w:tc>
        <w:tc>
          <w:tcPr>
            <w:tcW w:w="1843" w:type="dxa"/>
            <w:vAlign w:val="center"/>
          </w:tcPr>
          <w:p>
            <w:pPr>
              <w:pStyle w:val="16"/>
            </w:pPr>
            <w:r>
              <w:t>单位实际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经费支出准确率</w:t>
            </w:r>
          </w:p>
        </w:tc>
        <w:tc>
          <w:tcPr>
            <w:tcW w:w="2891" w:type="dxa"/>
            <w:vAlign w:val="center"/>
          </w:tcPr>
          <w:p>
            <w:pPr>
              <w:pStyle w:val="16"/>
            </w:pPr>
            <w:r>
              <w:t>经费支出准确率</w:t>
            </w:r>
          </w:p>
        </w:tc>
        <w:tc>
          <w:tcPr>
            <w:tcW w:w="1276" w:type="dxa"/>
            <w:vAlign w:val="center"/>
          </w:tcPr>
          <w:p>
            <w:pPr>
              <w:pStyle w:val="16"/>
            </w:pPr>
            <w:r>
              <w:t>100%</w:t>
            </w:r>
          </w:p>
        </w:tc>
        <w:tc>
          <w:tcPr>
            <w:tcW w:w="1843" w:type="dxa"/>
            <w:vAlign w:val="center"/>
          </w:tcPr>
          <w:p>
            <w:pPr>
              <w:pStyle w:val="16"/>
            </w:pPr>
            <w:r>
              <w:t>单位内控要求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资金支付率</w:t>
            </w:r>
          </w:p>
        </w:tc>
        <w:tc>
          <w:tcPr>
            <w:tcW w:w="2891" w:type="dxa"/>
            <w:vAlign w:val="center"/>
          </w:tcPr>
          <w:p>
            <w:pPr>
              <w:pStyle w:val="16"/>
            </w:pPr>
            <w:r>
              <w:t>资金支付率</w:t>
            </w:r>
          </w:p>
        </w:tc>
        <w:tc>
          <w:tcPr>
            <w:tcW w:w="1276" w:type="dxa"/>
            <w:vAlign w:val="center"/>
          </w:tcPr>
          <w:p>
            <w:pPr>
              <w:pStyle w:val="16"/>
            </w:pPr>
            <w:r>
              <w:t>100%</w:t>
            </w:r>
          </w:p>
        </w:tc>
        <w:tc>
          <w:tcPr>
            <w:tcW w:w="1843"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不超过维修维护经费总成本</w:t>
            </w:r>
          </w:p>
        </w:tc>
        <w:tc>
          <w:tcPr>
            <w:tcW w:w="2891" w:type="dxa"/>
            <w:vAlign w:val="center"/>
          </w:tcPr>
          <w:p>
            <w:pPr>
              <w:pStyle w:val="16"/>
            </w:pPr>
            <w:r>
              <w:t>不超过维修维护经费总成本</w:t>
            </w:r>
          </w:p>
        </w:tc>
        <w:tc>
          <w:tcPr>
            <w:tcW w:w="1276" w:type="dxa"/>
            <w:vAlign w:val="center"/>
          </w:tcPr>
          <w:p>
            <w:pPr>
              <w:pStyle w:val="16"/>
            </w:pPr>
            <w:r>
              <w:t>≤</w:t>
            </w:r>
            <w:r>
              <w:rPr>
                <w:rFonts w:hint="eastAsia"/>
                <w:lang w:eastAsia="zh-CN"/>
              </w:rPr>
              <w:t>400</w:t>
            </w:r>
            <w:r>
              <w:t>万元</w:t>
            </w:r>
          </w:p>
        </w:tc>
        <w:tc>
          <w:tcPr>
            <w:tcW w:w="1843" w:type="dxa"/>
            <w:vAlign w:val="center"/>
          </w:tcPr>
          <w:p>
            <w:pPr>
              <w:pStyle w:val="16"/>
            </w:pPr>
            <w:r>
              <w:t>单位实际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使用节能减排产品</w:t>
            </w:r>
          </w:p>
        </w:tc>
        <w:tc>
          <w:tcPr>
            <w:tcW w:w="2891" w:type="dxa"/>
            <w:vAlign w:val="center"/>
          </w:tcPr>
          <w:p>
            <w:pPr>
              <w:pStyle w:val="16"/>
            </w:pPr>
            <w:r>
              <w:t>使用节能减排产品</w:t>
            </w:r>
          </w:p>
        </w:tc>
        <w:tc>
          <w:tcPr>
            <w:tcW w:w="1276" w:type="dxa"/>
            <w:vAlign w:val="center"/>
          </w:tcPr>
          <w:p>
            <w:pPr>
              <w:pStyle w:val="16"/>
            </w:pPr>
            <w:r>
              <w:t>持续使用</w:t>
            </w:r>
          </w:p>
        </w:tc>
        <w:tc>
          <w:tcPr>
            <w:tcW w:w="1843" w:type="dxa"/>
            <w:vAlign w:val="center"/>
          </w:tcPr>
          <w:p>
            <w:pPr>
              <w:pStyle w:val="16"/>
            </w:pP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机关工作人员满意率</w:t>
            </w:r>
          </w:p>
        </w:tc>
        <w:tc>
          <w:tcPr>
            <w:tcW w:w="2891" w:type="dxa"/>
            <w:vAlign w:val="center"/>
          </w:tcPr>
          <w:p>
            <w:pPr>
              <w:pStyle w:val="16"/>
            </w:pPr>
            <w:r>
              <w:t>机关工作人员满意率</w:t>
            </w:r>
          </w:p>
        </w:tc>
        <w:tc>
          <w:tcPr>
            <w:tcW w:w="1276" w:type="dxa"/>
            <w:vAlign w:val="center"/>
          </w:tcPr>
          <w:p>
            <w:pPr>
              <w:pStyle w:val="16"/>
            </w:pPr>
            <w:r>
              <w:t>≥90%</w:t>
            </w:r>
          </w:p>
        </w:tc>
        <w:tc>
          <w:tcPr>
            <w:tcW w:w="1843" w:type="dxa"/>
            <w:vAlign w:val="center"/>
          </w:tcPr>
          <w:p>
            <w:pPr>
              <w:pStyle w:val="16"/>
            </w:pPr>
            <w:r>
              <w:t>单位要求</w:t>
            </w:r>
          </w:p>
        </w:tc>
      </w:tr>
    </w:tbl>
    <w:p>
      <w:pPr>
        <w:sectPr>
          <w:pgSz w:w="11900" w:h="16840"/>
          <w:pgMar w:top="1984" w:right="1304" w:bottom="1134" w:left="1304" w:header="720" w:footer="720" w:gutter="0"/>
          <w:cols w:space="720" w:num="1"/>
        </w:sectPr>
      </w:pPr>
    </w:p>
    <w:p>
      <w:pPr>
        <w:jc w:val="center"/>
      </w:pPr>
    </w:p>
    <w:p>
      <w:pPr>
        <w:ind w:firstLine="560"/>
        <w:outlineLvl w:val="3"/>
      </w:pPr>
      <w:bookmarkStart w:id="8" w:name="_Toc123030972"/>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w:t>
      </w:r>
      <w:r>
        <w:rPr>
          <w:rFonts w:hint="eastAsia" w:ascii="微软雅黑" w:hAnsi="微软雅黑" w:eastAsia="微软雅黑"/>
          <w:color w:val="111111"/>
          <w:sz w:val="27"/>
          <w:szCs w:val="27"/>
          <w:shd w:val="clear" w:color="auto" w:fill="F8F8F8"/>
        </w:rPr>
        <w:t xml:space="preserve"> </w:t>
      </w:r>
      <w:r>
        <w:rPr>
          <w:rFonts w:hint="eastAsia" w:ascii="方正仿宋_GBK" w:hAnsi="方正仿宋_GBK" w:eastAsia="方正仿宋_GBK" w:cs="方正仿宋_GBK"/>
          <w:color w:val="000000"/>
          <w:sz w:val="28"/>
        </w:rPr>
        <w:t>刑场建设项目</w:t>
      </w:r>
      <w:r>
        <w:rPr>
          <w:rFonts w:ascii="方正仿宋_GBK" w:hAnsi="方正仿宋_GBK" w:eastAsia="方正仿宋_GBK" w:cs="方正仿宋_GBK"/>
          <w:color w:val="000000"/>
          <w:sz w:val="28"/>
        </w:rPr>
        <w:t>绩效目标表</w:t>
      </w:r>
      <w:bookmarkEnd w:id="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323001河北省承德市中级人民法院本级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13080022P00895910001W</w:t>
            </w:r>
          </w:p>
        </w:tc>
        <w:tc>
          <w:tcPr>
            <w:tcW w:w="1587" w:type="dxa"/>
            <w:vAlign w:val="center"/>
          </w:tcPr>
          <w:p>
            <w:pPr>
              <w:pStyle w:val="17"/>
            </w:pPr>
            <w:r>
              <w:t>项目名称</w:t>
            </w:r>
          </w:p>
        </w:tc>
        <w:tc>
          <w:tcPr>
            <w:tcW w:w="4422" w:type="dxa"/>
            <w:gridSpan w:val="3"/>
            <w:vAlign w:val="center"/>
          </w:tcPr>
          <w:p>
            <w:pPr>
              <w:pStyle w:val="16"/>
              <w:rPr>
                <w:rFonts w:hint="eastAsia"/>
                <w:lang w:eastAsia="zh-CN"/>
              </w:rPr>
            </w:pPr>
            <w:r>
              <w:rPr>
                <w:rFonts w:hint="eastAsia"/>
                <w:lang w:eastAsia="zh-CN"/>
              </w:rPr>
              <w:t>刑场建项目绩效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rPr>
                <w:rFonts w:hint="eastAsia"/>
                <w:lang w:eastAsia="zh-CN"/>
              </w:rPr>
            </w:pPr>
            <w:r>
              <w:rPr>
                <w:rFonts w:hint="eastAsia"/>
                <w:lang w:eastAsia="zh-CN"/>
              </w:rPr>
              <w:t>700.00</w:t>
            </w:r>
          </w:p>
        </w:tc>
        <w:tc>
          <w:tcPr>
            <w:tcW w:w="1587" w:type="dxa"/>
            <w:vAlign w:val="center"/>
          </w:tcPr>
          <w:p>
            <w:pPr>
              <w:pStyle w:val="17"/>
            </w:pPr>
            <w:r>
              <w:t>其中：财政    资金</w:t>
            </w:r>
          </w:p>
        </w:tc>
        <w:tc>
          <w:tcPr>
            <w:tcW w:w="1304" w:type="dxa"/>
            <w:vAlign w:val="center"/>
          </w:tcPr>
          <w:p>
            <w:pPr>
              <w:pStyle w:val="16"/>
              <w:rPr>
                <w:rFonts w:hint="eastAsia"/>
                <w:lang w:eastAsia="zh-CN"/>
              </w:rPr>
            </w:pPr>
            <w:r>
              <w:rPr>
                <w:rFonts w:hint="eastAsia"/>
                <w:lang w:eastAsia="zh-CN"/>
              </w:rPr>
              <w:t>700.00</w:t>
            </w:r>
          </w:p>
        </w:tc>
        <w:tc>
          <w:tcPr>
            <w:tcW w:w="1276" w:type="dxa"/>
            <w:vAlign w:val="center"/>
          </w:tcPr>
          <w:p>
            <w:pPr>
              <w:pStyle w:val="17"/>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用于诉讼服务大厅专修改造。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1.合理安排财政资金支出计划，遵循单位财务规章制度，在预算内按进度支出；按要求完成诉讼服务大厅装修改造项目。</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建设规模</w:t>
            </w:r>
          </w:p>
          <w:p>
            <w:pPr>
              <w:pStyle w:val="16"/>
            </w:pPr>
          </w:p>
        </w:tc>
        <w:tc>
          <w:tcPr>
            <w:tcW w:w="2891"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建设规模符合《人民法院刑场建设标准》相关要求</w:t>
            </w:r>
          </w:p>
          <w:p>
            <w:pPr>
              <w:pStyle w:val="16"/>
            </w:pPr>
          </w:p>
        </w:tc>
        <w:tc>
          <w:tcPr>
            <w:tcW w:w="1276"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≤1200</w:t>
            </w:r>
            <w:r>
              <w:rPr>
                <w:rFonts w:hint="eastAsia" w:ascii="方正书宋_GBK" w:hAnsi="方正书宋_GBK" w:eastAsia="方正书宋_GBK" w:cs="方正书宋_GBK"/>
                <w:sz w:val="21"/>
                <w:lang w:eastAsia="uk-UA"/>
              </w:rPr>
              <w:t>平</w:t>
            </w:r>
            <w:r>
              <w:rPr>
                <w:rFonts w:ascii="方正书宋_GBK" w:hAnsi="方正书宋_GBK" w:eastAsia="方正书宋_GBK" w:cs="方正书宋_GBK"/>
                <w:sz w:val="21"/>
                <w:lang w:eastAsia="uk-UA"/>
              </w:rPr>
              <w:t>米</w:t>
            </w:r>
          </w:p>
          <w:p>
            <w:pPr>
              <w:pStyle w:val="16"/>
            </w:pPr>
          </w:p>
        </w:tc>
        <w:tc>
          <w:tcPr>
            <w:tcW w:w="1843"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《人民法院刑场建设标准》</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工程质量</w:t>
            </w:r>
          </w:p>
          <w:p>
            <w:pPr>
              <w:pStyle w:val="16"/>
            </w:pPr>
          </w:p>
        </w:tc>
        <w:tc>
          <w:tcPr>
            <w:tcW w:w="2891"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工程质量达到合格标准</w:t>
            </w:r>
          </w:p>
          <w:p>
            <w:pPr>
              <w:pStyle w:val="16"/>
            </w:pPr>
          </w:p>
        </w:tc>
        <w:tc>
          <w:tcPr>
            <w:tcW w:w="1276"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工程质量达到合格标准</w:t>
            </w:r>
          </w:p>
          <w:p>
            <w:pPr>
              <w:pStyle w:val="16"/>
            </w:pPr>
          </w:p>
        </w:tc>
        <w:tc>
          <w:tcPr>
            <w:tcW w:w="1843"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合同约定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项目完成时间</w:t>
            </w:r>
          </w:p>
          <w:p>
            <w:pPr>
              <w:pStyle w:val="16"/>
            </w:pPr>
          </w:p>
        </w:tc>
        <w:tc>
          <w:tcPr>
            <w:tcW w:w="2891"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不超出合同约定时间完成工程建设</w:t>
            </w:r>
          </w:p>
          <w:p>
            <w:pPr>
              <w:pStyle w:val="16"/>
            </w:pPr>
          </w:p>
        </w:tc>
        <w:tc>
          <w:tcPr>
            <w:tcW w:w="1276"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不超出合同约定时间完成工程建设</w:t>
            </w:r>
          </w:p>
          <w:p>
            <w:pPr>
              <w:pStyle w:val="16"/>
            </w:pPr>
          </w:p>
        </w:tc>
        <w:tc>
          <w:tcPr>
            <w:tcW w:w="1843"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合同约定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项目总成本</w:t>
            </w:r>
          </w:p>
          <w:p>
            <w:pPr>
              <w:pStyle w:val="16"/>
            </w:pPr>
          </w:p>
        </w:tc>
        <w:tc>
          <w:tcPr>
            <w:tcW w:w="2891"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不超项目总成本</w:t>
            </w:r>
          </w:p>
          <w:p>
            <w:pPr>
              <w:pStyle w:val="16"/>
            </w:pPr>
          </w:p>
        </w:tc>
        <w:tc>
          <w:tcPr>
            <w:tcW w:w="1276" w:type="dxa"/>
            <w:vAlign w:val="center"/>
          </w:tcPr>
          <w:p>
            <w:pPr>
              <w:pStyle w:val="16"/>
            </w:pPr>
            <w:r>
              <w:br w:type="textWrapping"/>
            </w:r>
            <w:r>
              <w:t>≤700</w:t>
            </w:r>
            <w:r>
              <w:rPr>
                <w:rFonts w:hint="eastAsia"/>
              </w:rPr>
              <w:t>万</w:t>
            </w:r>
            <w:r>
              <w:t>元</w:t>
            </w:r>
          </w:p>
        </w:tc>
        <w:tc>
          <w:tcPr>
            <w:tcW w:w="1843"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单位要求</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维护社会安全稳定、震慑违法犯罪份子。</w:t>
            </w:r>
          </w:p>
          <w:p>
            <w:pPr>
              <w:pStyle w:val="16"/>
            </w:pPr>
          </w:p>
        </w:tc>
        <w:tc>
          <w:tcPr>
            <w:tcW w:w="2891"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可持续维护社会安全稳定、震慑违法犯罪份子</w:t>
            </w:r>
          </w:p>
          <w:p>
            <w:pPr>
              <w:pStyle w:val="16"/>
            </w:pPr>
          </w:p>
        </w:tc>
        <w:tc>
          <w:tcPr>
            <w:tcW w:w="1276"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可持续维护社会安全稳定、震慑违法犯罪份子</w:t>
            </w:r>
          </w:p>
          <w:p>
            <w:pPr>
              <w:pStyle w:val="16"/>
            </w:pPr>
          </w:p>
        </w:tc>
        <w:tc>
          <w:tcPr>
            <w:tcW w:w="1843" w:type="dxa"/>
            <w:vAlign w:val="center"/>
          </w:tcPr>
          <w:p>
            <w:pPr>
              <w:pStyle w:val="5"/>
              <w:shd w:val="clear" w:color="auto" w:fill="FFFFFF"/>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单位要求</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不涉及</w:t>
            </w:r>
          </w:p>
          <w:p>
            <w:pPr>
              <w:pStyle w:val="5"/>
              <w:shd w:val="clear" w:color="auto" w:fill="FFFFFF"/>
              <w:jc w:val="center"/>
              <w:rPr>
                <w:rFonts w:hint="eastAsia" w:ascii="方正书宋_GBK" w:hAnsi="方正书宋_GBK" w:eastAsia="方正书宋_GBK" w:cs="方正书宋_GBK"/>
                <w:sz w:val="21"/>
                <w:lang w:eastAsia="uk-UA"/>
              </w:rPr>
            </w:pPr>
          </w:p>
        </w:tc>
        <w:tc>
          <w:tcPr>
            <w:tcW w:w="2891"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不涉及</w:t>
            </w:r>
          </w:p>
          <w:p>
            <w:pPr>
              <w:pStyle w:val="16"/>
            </w:pPr>
          </w:p>
        </w:tc>
        <w:tc>
          <w:tcPr>
            <w:tcW w:w="1276"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不涉及</w:t>
            </w:r>
          </w:p>
          <w:p>
            <w:pPr>
              <w:pStyle w:val="16"/>
            </w:pPr>
          </w:p>
        </w:tc>
        <w:tc>
          <w:tcPr>
            <w:tcW w:w="1843" w:type="dxa"/>
            <w:vAlign w:val="center"/>
          </w:tcPr>
          <w:p>
            <w:pPr>
              <w:pStyle w:val="5"/>
              <w:shd w:val="clear" w:color="auto" w:fill="FFFFFF"/>
              <w:jc w:val="center"/>
              <w:rPr>
                <w:rFonts w:ascii="方正书宋_GBK" w:hAnsi="方正书宋_GBK" w:eastAsia="方正书宋_GBK" w:cs="方正书宋_GBK"/>
                <w:sz w:val="21"/>
                <w:lang w:eastAsia="uk-UA"/>
              </w:rPr>
            </w:pPr>
            <w:r>
              <w:rPr>
                <w:rFonts w:ascii="方正书宋_GBK" w:hAnsi="方正书宋_GBK" w:eastAsia="方正书宋_GBK" w:cs="方正书宋_GBK"/>
                <w:sz w:val="21"/>
                <w:lang w:eastAsia="uk-UA"/>
              </w:rPr>
              <w:t>不涉及</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单位要求</w:t>
            </w:r>
          </w:p>
        </w:tc>
      </w:tr>
    </w:tbl>
    <w:p>
      <w:pPr>
        <w:sectPr>
          <w:pgSz w:w="11900" w:h="16840"/>
          <w:pgMar w:top="1984" w:right="1304" w:bottom="1134" w:left="1304" w:header="720" w:footer="720" w:gutter="0"/>
          <w:cols w:space="720" w:num="1"/>
        </w:sectPr>
      </w:pPr>
    </w:p>
    <w:p>
      <w:pPr>
        <w:jc w:val="center"/>
      </w:pPr>
    </w:p>
    <w:p>
      <w:pPr>
        <w:ind w:firstLine="560"/>
        <w:outlineLvl w:val="3"/>
      </w:pPr>
      <w:bookmarkStart w:id="9" w:name="_Toc123030973"/>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.质效型运维外包服务项目绩效目标表</w:t>
      </w:r>
      <w:bookmarkEnd w:id="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323001河北省承德市中级人民法院本级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13080021NU34PCK2U0A2D</w:t>
            </w:r>
          </w:p>
        </w:tc>
        <w:tc>
          <w:tcPr>
            <w:tcW w:w="1587" w:type="dxa"/>
            <w:vAlign w:val="center"/>
          </w:tcPr>
          <w:p>
            <w:pPr>
              <w:pStyle w:val="17"/>
            </w:pPr>
            <w:r>
              <w:t>项目名称</w:t>
            </w:r>
          </w:p>
        </w:tc>
        <w:tc>
          <w:tcPr>
            <w:tcW w:w="4422" w:type="dxa"/>
            <w:gridSpan w:val="3"/>
            <w:vAlign w:val="center"/>
          </w:tcPr>
          <w:p>
            <w:pPr>
              <w:pStyle w:val="16"/>
            </w:pPr>
            <w:r>
              <w:t>质效型运维外包服务项目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rPr>
                <w:rFonts w:hint="eastAsia"/>
                <w:lang w:eastAsia="zh-CN"/>
              </w:rPr>
            </w:pPr>
            <w:r>
              <w:rPr>
                <w:rFonts w:hint="eastAsia"/>
                <w:lang w:eastAsia="zh-CN"/>
              </w:rPr>
              <w:t>85.00</w:t>
            </w:r>
          </w:p>
        </w:tc>
        <w:tc>
          <w:tcPr>
            <w:tcW w:w="1587" w:type="dxa"/>
            <w:vAlign w:val="center"/>
          </w:tcPr>
          <w:p>
            <w:pPr>
              <w:pStyle w:val="17"/>
            </w:pPr>
            <w:r>
              <w:t>其中：财政    资金</w:t>
            </w:r>
          </w:p>
        </w:tc>
        <w:tc>
          <w:tcPr>
            <w:tcW w:w="1304" w:type="dxa"/>
            <w:vAlign w:val="center"/>
          </w:tcPr>
          <w:p>
            <w:pPr>
              <w:pStyle w:val="16"/>
              <w:rPr>
                <w:rFonts w:hint="eastAsia"/>
                <w:lang w:eastAsia="zh-CN"/>
              </w:rPr>
            </w:pPr>
            <w:r>
              <w:rPr>
                <w:rFonts w:hint="eastAsia"/>
                <w:lang w:eastAsia="zh-CN"/>
              </w:rPr>
              <w:t>85.00</w:t>
            </w:r>
          </w:p>
        </w:tc>
        <w:tc>
          <w:tcPr>
            <w:tcW w:w="1276" w:type="dxa"/>
            <w:vAlign w:val="center"/>
          </w:tcPr>
          <w:p>
            <w:pPr>
              <w:pStyle w:val="17"/>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用于质效型运维外包服务项目支出。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促进信息化工作整体质量和服务业务水平效率全面提升。以服务对象满意度为目标，以可评价、可度量、可量化的信息技术为支撑，聚焦信息化整体质效，把运维工作机制、信息化应用成效、服务对象满意度全部纳入到一个管理体系中进行研究和管理，将运维对象的“质”（服务质量）与服务对象的“效”（应用成效）深度耦合，借助ITIL、ITSS、ISO20000等科学的管理方法和实践，打通信息化规划建设和整体绩效之间的“最后一公里”。</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信息外包技术人员数量</w:t>
            </w:r>
          </w:p>
        </w:tc>
        <w:tc>
          <w:tcPr>
            <w:tcW w:w="2891" w:type="dxa"/>
            <w:vAlign w:val="center"/>
          </w:tcPr>
          <w:p>
            <w:pPr>
              <w:pStyle w:val="16"/>
            </w:pPr>
            <w:r>
              <w:t>信息外包技术人员数量</w:t>
            </w:r>
          </w:p>
        </w:tc>
        <w:tc>
          <w:tcPr>
            <w:tcW w:w="1276" w:type="dxa"/>
            <w:vAlign w:val="center"/>
          </w:tcPr>
          <w:p>
            <w:pPr>
              <w:pStyle w:val="16"/>
            </w:pPr>
            <w:r>
              <w:t>≥6人</w:t>
            </w:r>
          </w:p>
        </w:tc>
        <w:tc>
          <w:tcPr>
            <w:tcW w:w="1843"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响应时间</w:t>
            </w:r>
          </w:p>
        </w:tc>
        <w:tc>
          <w:tcPr>
            <w:tcW w:w="2891" w:type="dxa"/>
            <w:vAlign w:val="center"/>
          </w:tcPr>
          <w:p>
            <w:pPr>
              <w:pStyle w:val="16"/>
            </w:pPr>
            <w:r>
              <w:t>响应时间</w:t>
            </w:r>
          </w:p>
        </w:tc>
        <w:tc>
          <w:tcPr>
            <w:tcW w:w="1276" w:type="dxa"/>
            <w:vAlign w:val="center"/>
          </w:tcPr>
          <w:p>
            <w:pPr>
              <w:pStyle w:val="16"/>
            </w:pPr>
            <w:r>
              <w:t>≤10分钟</w:t>
            </w:r>
          </w:p>
        </w:tc>
        <w:tc>
          <w:tcPr>
            <w:tcW w:w="1843"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运维故障处理及时率</w:t>
            </w:r>
          </w:p>
        </w:tc>
        <w:tc>
          <w:tcPr>
            <w:tcW w:w="2891" w:type="dxa"/>
            <w:vAlign w:val="center"/>
          </w:tcPr>
          <w:p>
            <w:pPr>
              <w:pStyle w:val="16"/>
            </w:pPr>
            <w:r>
              <w:t>运维故障处理及时率</w:t>
            </w:r>
          </w:p>
        </w:tc>
        <w:tc>
          <w:tcPr>
            <w:tcW w:w="1276" w:type="dxa"/>
            <w:vAlign w:val="center"/>
          </w:tcPr>
          <w:p>
            <w:pPr>
              <w:pStyle w:val="16"/>
            </w:pPr>
            <w:r>
              <w:t>100%</w:t>
            </w:r>
          </w:p>
        </w:tc>
        <w:tc>
          <w:tcPr>
            <w:tcW w:w="1843"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不超过质效型运维外包服务总成本</w:t>
            </w:r>
          </w:p>
        </w:tc>
        <w:tc>
          <w:tcPr>
            <w:tcW w:w="2891" w:type="dxa"/>
            <w:vAlign w:val="center"/>
          </w:tcPr>
          <w:p>
            <w:pPr>
              <w:pStyle w:val="16"/>
            </w:pPr>
            <w:r>
              <w:t>不超过质效型运维外包服务总成本</w:t>
            </w:r>
          </w:p>
        </w:tc>
        <w:tc>
          <w:tcPr>
            <w:tcW w:w="1276" w:type="dxa"/>
            <w:vAlign w:val="center"/>
          </w:tcPr>
          <w:p>
            <w:pPr>
              <w:pStyle w:val="16"/>
            </w:pPr>
            <w:r>
              <w:t>≤8</w:t>
            </w:r>
            <w:r>
              <w:rPr>
                <w:rFonts w:hint="eastAsia"/>
                <w:lang w:eastAsia="zh-CN"/>
              </w:rPr>
              <w:t>5</w:t>
            </w:r>
            <w:r>
              <w:t>万元</w:t>
            </w:r>
          </w:p>
        </w:tc>
        <w:tc>
          <w:tcPr>
            <w:tcW w:w="1843" w:type="dxa"/>
            <w:vAlign w:val="center"/>
          </w:tcPr>
          <w:p>
            <w:pPr>
              <w:pStyle w:val="16"/>
            </w:pP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提升信息化工作整体质效</w:t>
            </w:r>
          </w:p>
        </w:tc>
        <w:tc>
          <w:tcPr>
            <w:tcW w:w="2891" w:type="dxa"/>
            <w:vAlign w:val="center"/>
          </w:tcPr>
          <w:p>
            <w:pPr>
              <w:pStyle w:val="16"/>
            </w:pPr>
            <w:r>
              <w:t>提升信息化工作整体质效</w:t>
            </w:r>
          </w:p>
        </w:tc>
        <w:tc>
          <w:tcPr>
            <w:tcW w:w="1276" w:type="dxa"/>
            <w:vAlign w:val="center"/>
          </w:tcPr>
          <w:p>
            <w:pPr>
              <w:pStyle w:val="16"/>
            </w:pPr>
            <w:r>
              <w:t>持续提升</w:t>
            </w:r>
          </w:p>
        </w:tc>
        <w:tc>
          <w:tcPr>
            <w:tcW w:w="1843" w:type="dxa"/>
            <w:vAlign w:val="center"/>
          </w:tcPr>
          <w:p>
            <w:pPr>
              <w:pStyle w:val="16"/>
            </w:pPr>
            <w: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不涉及</w:t>
            </w:r>
          </w:p>
        </w:tc>
        <w:tc>
          <w:tcPr>
            <w:tcW w:w="2891" w:type="dxa"/>
            <w:vAlign w:val="center"/>
          </w:tcPr>
          <w:p>
            <w:pPr>
              <w:pStyle w:val="16"/>
            </w:pPr>
            <w:r>
              <w:t>不涉及</w:t>
            </w:r>
          </w:p>
        </w:tc>
        <w:tc>
          <w:tcPr>
            <w:tcW w:w="1276" w:type="dxa"/>
            <w:vAlign w:val="center"/>
          </w:tcPr>
          <w:p>
            <w:pPr>
              <w:pStyle w:val="16"/>
            </w:pPr>
            <w:r>
              <w:t>不涉及</w:t>
            </w:r>
          </w:p>
        </w:tc>
        <w:tc>
          <w:tcPr>
            <w:tcW w:w="1843"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FD36D"/>
    <w:multiLevelType w:val="singleLevel"/>
    <w:tmpl w:val="C5AFD3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4348BB"/>
    <w:rsid w:val="00114172"/>
    <w:rsid w:val="001728D3"/>
    <w:rsid w:val="001A2E6C"/>
    <w:rsid w:val="00337E79"/>
    <w:rsid w:val="00363FB2"/>
    <w:rsid w:val="003E5391"/>
    <w:rsid w:val="004348BB"/>
    <w:rsid w:val="00492F2E"/>
    <w:rsid w:val="007231BE"/>
    <w:rsid w:val="00751E7E"/>
    <w:rsid w:val="00786204"/>
    <w:rsid w:val="00855E7C"/>
    <w:rsid w:val="008C3606"/>
    <w:rsid w:val="008F5326"/>
    <w:rsid w:val="00963407"/>
    <w:rsid w:val="00B748DD"/>
    <w:rsid w:val="00BC03E2"/>
    <w:rsid w:val="00E124E1"/>
    <w:rsid w:val="00E704A4"/>
    <w:rsid w:val="00EC4C50"/>
    <w:rsid w:val="00F8597F"/>
    <w:rsid w:val="00FA01EA"/>
    <w:rsid w:val="00FE0B35"/>
    <w:rsid w:val="03DF7DF2"/>
    <w:rsid w:val="30C94080"/>
    <w:rsid w:val="37321549"/>
    <w:rsid w:val="794316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semiHidden/>
    <w:unhideWhenUsed/>
    <w:qFormat/>
    <w:uiPriority w:val="99"/>
    <w:pPr>
      <w:tabs>
        <w:tab w:val="center" w:pos="4153"/>
        <w:tab w:val="right" w:pos="8306"/>
      </w:tabs>
      <w:snapToGrid w:val="0"/>
    </w:pPr>
    <w:rPr>
      <w:sz w:val="18"/>
      <w:szCs w:val="18"/>
    </w:rPr>
  </w:style>
  <w:style w:type="paragraph" w:styleId="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4"/>
    <w:basedOn w:val="1"/>
    <w:next w:val="1"/>
    <w:unhideWhenUsed/>
    <w:uiPriority w:val="39"/>
    <w:pPr>
      <w:ind w:left="1260" w:leftChars="600"/>
    </w:pPr>
  </w:style>
  <w:style w:type="paragraph" w:styleId="5">
    <w:name w:val="HTML Preformatted"/>
    <w:basedOn w:val="1"/>
    <w:link w:val="2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lang w:eastAsia="zh-CN"/>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uiPriority w:val="99"/>
    <w:rPr>
      <w:color w:val="0563C1" w:themeColor="hyperlink"/>
      <w:u w:val="single"/>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TOC 2"/>
    <w:basedOn w:val="1"/>
    <w:qFormat/>
    <w:uiPriority w:val="0"/>
    <w:pPr>
      <w:ind w:left="240"/>
    </w:pPr>
  </w:style>
  <w:style w:type="paragraph" w:customStyle="1" w:styleId="20">
    <w:name w:val="TOC 4"/>
    <w:basedOn w:val="1"/>
    <w:qFormat/>
    <w:uiPriority w:val="0"/>
    <w:pPr>
      <w:ind w:left="720"/>
    </w:pPr>
  </w:style>
  <w:style w:type="paragraph" w:customStyle="1" w:styleId="21">
    <w:name w:val="TOC 1"/>
    <w:basedOn w:val="1"/>
    <w:qFormat/>
    <w:uiPriority w:val="0"/>
    <w:pPr>
      <w:spacing w:before="120"/>
    </w:pPr>
    <w:rPr>
      <w:rFonts w:eastAsia="方正仿宋_GBK"/>
      <w:color w:val="000000"/>
      <w:sz w:val="28"/>
    </w:rPr>
  </w:style>
  <w:style w:type="character" w:customStyle="1" w:styleId="22">
    <w:name w:val="页眉 Char"/>
    <w:basedOn w:val="8"/>
    <w:link w:val="3"/>
    <w:semiHidden/>
    <w:uiPriority w:val="99"/>
    <w:rPr>
      <w:rFonts w:eastAsia="Times New Roman"/>
      <w:sz w:val="18"/>
      <w:szCs w:val="18"/>
      <w:lang w:eastAsia="uk-UA"/>
    </w:rPr>
  </w:style>
  <w:style w:type="character" w:customStyle="1" w:styleId="23">
    <w:name w:val="页脚 Char"/>
    <w:basedOn w:val="8"/>
    <w:link w:val="2"/>
    <w:semiHidden/>
    <w:uiPriority w:val="99"/>
    <w:rPr>
      <w:rFonts w:eastAsia="Times New Roman"/>
      <w:sz w:val="18"/>
      <w:szCs w:val="18"/>
      <w:lang w:eastAsia="uk-UA"/>
    </w:rPr>
  </w:style>
  <w:style w:type="paragraph" w:customStyle="1" w:styleId="24">
    <w:name w:val="单元格样式22"/>
    <w:basedOn w:val="1"/>
    <w:qFormat/>
    <w:uiPriority w:val="0"/>
    <w:pPr>
      <w:jc w:val="right"/>
    </w:pPr>
    <w:rPr>
      <w:rFonts w:ascii="方正小标宋_GBK" w:hAnsi="方正小标宋_GBK" w:eastAsia="方正小标宋_GBK" w:cs="方正小标宋_GBK"/>
    </w:rPr>
  </w:style>
  <w:style w:type="character" w:customStyle="1" w:styleId="25">
    <w:name w:val="HTML 预设格式 Char"/>
    <w:basedOn w:val="8"/>
    <w:link w:val="5"/>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8" Type="http://schemas.openxmlformats.org/officeDocument/2006/relationships/fontTable" Target="fontTable.xml"/><Relationship Id="rId47" Type="http://schemas.openxmlformats.org/officeDocument/2006/relationships/customXml" Target="../customXml/item35.xml"/><Relationship Id="rId46" Type="http://schemas.openxmlformats.org/officeDocument/2006/relationships/customXml" Target="../customXml/item34.xml"/><Relationship Id="rId45" Type="http://schemas.openxmlformats.org/officeDocument/2006/relationships/customXml" Target="../customXml/item33.xml"/><Relationship Id="rId44" Type="http://schemas.openxmlformats.org/officeDocument/2006/relationships/customXml" Target="../customXml/item32.xml"/><Relationship Id="rId43" Type="http://schemas.openxmlformats.org/officeDocument/2006/relationships/customXml" Target="../customXml/item31.xml"/><Relationship Id="rId42" Type="http://schemas.openxmlformats.org/officeDocument/2006/relationships/customXml" Target="../customXml/item30.xml"/><Relationship Id="rId41" Type="http://schemas.openxmlformats.org/officeDocument/2006/relationships/customXml" Target="../customXml/item29.xml"/><Relationship Id="rId40" Type="http://schemas.openxmlformats.org/officeDocument/2006/relationships/customXml" Target="../customXml/item28.xml"/><Relationship Id="rId4" Type="http://schemas.openxmlformats.org/officeDocument/2006/relationships/header" Target="header2.xml"/><Relationship Id="rId39" Type="http://schemas.openxmlformats.org/officeDocument/2006/relationships/customXml" Target="../customXml/item27.xml"/><Relationship Id="rId38" Type="http://schemas.openxmlformats.org/officeDocument/2006/relationships/customXml" Target="../customXml/item26.xml"/><Relationship Id="rId37" Type="http://schemas.openxmlformats.org/officeDocument/2006/relationships/customXml" Target="../customXml/item25.xml"/><Relationship Id="rId36" Type="http://schemas.openxmlformats.org/officeDocument/2006/relationships/customXml" Target="../customXml/item24.xml"/><Relationship Id="rId35" Type="http://schemas.openxmlformats.org/officeDocument/2006/relationships/customXml" Target="../customXml/item23.xml"/><Relationship Id="rId34" Type="http://schemas.openxmlformats.org/officeDocument/2006/relationships/customXml" Target="../customXml/item22.xml"/><Relationship Id="rId33" Type="http://schemas.openxmlformats.org/officeDocument/2006/relationships/customXml" Target="../customXml/item21.xml"/><Relationship Id="rId32" Type="http://schemas.openxmlformats.org/officeDocument/2006/relationships/customXml" Target="../customXml/item20.xml"/><Relationship Id="rId31" Type="http://schemas.openxmlformats.org/officeDocument/2006/relationships/customXml" Target="../customXml/item19.xml"/><Relationship Id="rId30" Type="http://schemas.openxmlformats.org/officeDocument/2006/relationships/customXml" Target="../customXml/item18.xml"/><Relationship Id="rId3" Type="http://schemas.openxmlformats.org/officeDocument/2006/relationships/header" Target="header1.xml"/><Relationship Id="rId29" Type="http://schemas.openxmlformats.org/officeDocument/2006/relationships/customXml" Target="../customXml/item17.xml"/><Relationship Id="rId28" Type="http://schemas.openxmlformats.org/officeDocument/2006/relationships/customXml" Target="../customXml/item16.xml"/><Relationship Id="rId27" Type="http://schemas.openxmlformats.org/officeDocument/2006/relationships/customXml" Target="../customXml/item15.xml"/><Relationship Id="rId26" Type="http://schemas.openxmlformats.org/officeDocument/2006/relationships/customXml" Target="../customXml/item14.xml"/><Relationship Id="rId25" Type="http://schemas.openxmlformats.org/officeDocument/2006/relationships/customXml" Target="../customXml/item13.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2022-02-14T10:24:17Z</dcterms:created>
  <dcterms:modified xsi:type="dcterms:W3CDTF">2022-02-14T02:24:17Z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2022-02-14T10:24:18Z</dcterms:created>
  <dcterms:modified xsi:type="dcterms:W3CDTF">2022-02-14T02:24:18Z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2022-02-14T10:24:15Z</dcterms:created>
  <dcterms:modified xsi:type="dcterms:W3CDTF">2022-02-14T02:24:15Z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2022-02-14T10:24:17Z</dcterms:created>
  <dcterms:modified xsi:type="dcterms:W3CDTF">2022-02-14T02:24:17Z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2022-02-14T10:24:14Z</dcterms:created>
  <dcterms:modified xsi:type="dcterms:W3CDTF">2022-02-14T02:24:14Z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2022-02-14T10:24:18Z</dcterms:created>
  <dcterms:modified xsi:type="dcterms:W3CDTF">2022-02-14T02:24:18Z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2022-02-14T10:24:15Z</dcterms:created>
  <dcterms:modified xsi:type="dcterms:W3CDTF">2022-02-14T02:24:15Z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2022-02-14T10:24:15Z</dcterms:created>
  <dcterms:modified xsi:type="dcterms:W3CDTF">2022-02-14T02:24:15Z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2022-02-14T10:24:17Z</dcterms:created>
  <dcterms:modified xsi:type="dcterms:W3CDTF">2022-02-14T02:24:17Z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2022-02-14T10:24:16Z</dcterms:created>
  <dcterms:modified xsi:type="dcterms:W3CDTF">2022-02-14T02:24:16Z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2022-02-14T10:24:17Z</dcterms:created>
  <dcterms:modified xsi:type="dcterms:W3CDTF">2022-02-14T02:24:17Z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2022-02-14T10:24:16Z</dcterms:created>
  <dcterms:modified xsi:type="dcterms:W3CDTF">2022-02-14T02:24:16Z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2022-02-14T10:24:16Z</dcterms:created>
  <dcterms:modified xsi:type="dcterms:W3CDTF">2022-02-14T02:24:16Z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2022-02-14T10:24:18Z</dcterms:created>
  <dcterms:modified xsi:type="dcterms:W3CDTF">2022-02-14T02:24:18Z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2022-02-14T10:24:14Z</dcterms:created>
  <dcterms:modified xsi:type="dcterms:W3CDTF">2022-02-14T02:24:14Z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2022-02-14T10:24:15Z</dcterms:created>
  <dcterms:modified xsi:type="dcterms:W3CDTF">2022-02-14T02:24:15Z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2022-02-14T10:24:16Z</dcterms:created>
  <dcterms:modified xsi:type="dcterms:W3CDTF">2022-02-14T02:24:16Z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8670A71-B56D-40AE-B24B-34087A9F3441}">
  <ds:schemaRefs/>
</ds:datastoreItem>
</file>

<file path=customXml/itemProps11.xml><?xml version="1.0" encoding="utf-8"?>
<ds:datastoreItem xmlns:ds="http://schemas.openxmlformats.org/officeDocument/2006/customXml" ds:itemID="{EF88C316-C17C-4D4D-9CBF-600A0B9D07C4}">
  <ds:schemaRefs/>
</ds:datastoreItem>
</file>

<file path=customXml/itemProps12.xml><?xml version="1.0" encoding="utf-8"?>
<ds:datastoreItem xmlns:ds="http://schemas.openxmlformats.org/officeDocument/2006/customXml" ds:itemID="{BD89B966-C892-40C7-8D09-9DD5757F3470}">
  <ds:schemaRefs/>
</ds:datastoreItem>
</file>

<file path=customXml/itemProps13.xml><?xml version="1.0" encoding="utf-8"?>
<ds:datastoreItem xmlns:ds="http://schemas.openxmlformats.org/officeDocument/2006/customXml" ds:itemID="{723BE874-8C90-43F6-8C11-A0B7D8A6A8C1}">
  <ds:schemaRefs/>
</ds:datastoreItem>
</file>

<file path=customXml/itemProps14.xml><?xml version="1.0" encoding="utf-8"?>
<ds:datastoreItem xmlns:ds="http://schemas.openxmlformats.org/officeDocument/2006/customXml" ds:itemID="{0383A7FF-57FE-4AE1-81B9-1F294F96ABD1}">
  <ds:schemaRefs/>
</ds:datastoreItem>
</file>

<file path=customXml/itemProps15.xml><?xml version="1.0" encoding="utf-8"?>
<ds:datastoreItem xmlns:ds="http://schemas.openxmlformats.org/officeDocument/2006/customXml" ds:itemID="{55CBB9B8-297E-4986-A397-E3A0F0DB051B}">
  <ds:schemaRefs/>
</ds:datastoreItem>
</file>

<file path=customXml/itemProps16.xml><?xml version="1.0" encoding="utf-8"?>
<ds:datastoreItem xmlns:ds="http://schemas.openxmlformats.org/officeDocument/2006/customXml" ds:itemID="{D8A4C461-60C3-423F-9BAA-6D3C50920BDE}">
  <ds:schemaRefs/>
</ds:datastoreItem>
</file>

<file path=customXml/itemProps17.xml><?xml version="1.0" encoding="utf-8"?>
<ds:datastoreItem xmlns:ds="http://schemas.openxmlformats.org/officeDocument/2006/customXml" ds:itemID="{7E3788D5-B9B1-4175-B716-700089DC4A40}">
  <ds:schemaRefs/>
</ds:datastoreItem>
</file>

<file path=customXml/itemProps18.xml><?xml version="1.0" encoding="utf-8"?>
<ds:datastoreItem xmlns:ds="http://schemas.openxmlformats.org/officeDocument/2006/customXml" ds:itemID="{0EB6B0F8-376D-44D2-8178-BAB733EF857D}">
  <ds:schemaRefs/>
</ds:datastoreItem>
</file>

<file path=customXml/itemProps19.xml><?xml version="1.0" encoding="utf-8"?>
<ds:datastoreItem xmlns:ds="http://schemas.openxmlformats.org/officeDocument/2006/customXml" ds:itemID="{28FE6927-3850-475B-955B-ED9E5170A1D1}">
  <ds:schemaRefs/>
</ds:datastoreItem>
</file>

<file path=customXml/itemProps2.xml><?xml version="1.0" encoding="utf-8"?>
<ds:datastoreItem xmlns:ds="http://schemas.openxmlformats.org/officeDocument/2006/customXml" ds:itemID="{B5A6F2E2-D9BA-40D3-A38F-6397547E86E1}">
  <ds:schemaRefs/>
</ds:datastoreItem>
</file>

<file path=customXml/itemProps20.xml><?xml version="1.0" encoding="utf-8"?>
<ds:datastoreItem xmlns:ds="http://schemas.openxmlformats.org/officeDocument/2006/customXml" ds:itemID="{5D109CFC-FC18-430C-99DF-57670A80554B}">
  <ds:schemaRefs/>
</ds:datastoreItem>
</file>

<file path=customXml/itemProps21.xml><?xml version="1.0" encoding="utf-8"?>
<ds:datastoreItem xmlns:ds="http://schemas.openxmlformats.org/officeDocument/2006/customXml" ds:itemID="{0A797789-C097-4AE8-81FE-EE0056594298}">
  <ds:schemaRefs/>
</ds:datastoreItem>
</file>

<file path=customXml/itemProps22.xml><?xml version="1.0" encoding="utf-8"?>
<ds:datastoreItem xmlns:ds="http://schemas.openxmlformats.org/officeDocument/2006/customXml" ds:itemID="{7A21E87D-EDAB-4DFF-8C0F-7C9B259196EF}">
  <ds:schemaRefs/>
</ds:datastoreItem>
</file>

<file path=customXml/itemProps23.xml><?xml version="1.0" encoding="utf-8"?>
<ds:datastoreItem xmlns:ds="http://schemas.openxmlformats.org/officeDocument/2006/customXml" ds:itemID="{28812453-039B-4BB2-8F16-102065E66029}">
  <ds:schemaRefs/>
</ds:datastoreItem>
</file>

<file path=customXml/itemProps24.xml><?xml version="1.0" encoding="utf-8"?>
<ds:datastoreItem xmlns:ds="http://schemas.openxmlformats.org/officeDocument/2006/customXml" ds:itemID="{6D16B635-15CA-44AF-9507-687B1C4E1BA8}">
  <ds:schemaRefs/>
</ds:datastoreItem>
</file>

<file path=customXml/itemProps25.xml><?xml version="1.0" encoding="utf-8"?>
<ds:datastoreItem xmlns:ds="http://schemas.openxmlformats.org/officeDocument/2006/customXml" ds:itemID="{287537D5-2EB6-49BA-A727-F5FF08D4B29F}">
  <ds:schemaRefs/>
</ds:datastoreItem>
</file>

<file path=customXml/itemProps26.xml><?xml version="1.0" encoding="utf-8"?>
<ds:datastoreItem xmlns:ds="http://schemas.openxmlformats.org/officeDocument/2006/customXml" ds:itemID="{E15F05F6-842C-4094-A65E-7860D57BA55D}">
  <ds:schemaRefs/>
</ds:datastoreItem>
</file>

<file path=customXml/itemProps27.xml><?xml version="1.0" encoding="utf-8"?>
<ds:datastoreItem xmlns:ds="http://schemas.openxmlformats.org/officeDocument/2006/customXml" ds:itemID="{04EC9E04-8A26-404D-A862-773CD401A61A}">
  <ds:schemaRefs/>
</ds:datastoreItem>
</file>

<file path=customXml/itemProps28.xml><?xml version="1.0" encoding="utf-8"?>
<ds:datastoreItem xmlns:ds="http://schemas.openxmlformats.org/officeDocument/2006/customXml" ds:itemID="{A79A971E-D36A-49ED-A793-4CC36CA91553}">
  <ds:schemaRefs/>
</ds:datastoreItem>
</file>

<file path=customXml/itemProps29.xml><?xml version="1.0" encoding="utf-8"?>
<ds:datastoreItem xmlns:ds="http://schemas.openxmlformats.org/officeDocument/2006/customXml" ds:itemID="{2CDB0EFD-273F-482A-B603-A5D22CE7D50E}">
  <ds:schemaRefs/>
</ds:datastoreItem>
</file>

<file path=customXml/itemProps3.xml><?xml version="1.0" encoding="utf-8"?>
<ds:datastoreItem xmlns:ds="http://schemas.openxmlformats.org/officeDocument/2006/customXml" ds:itemID="{873DA95C-767F-454C-A637-DE0FEC49FA54}">
  <ds:schemaRefs/>
</ds:datastoreItem>
</file>

<file path=customXml/itemProps30.xml><?xml version="1.0" encoding="utf-8"?>
<ds:datastoreItem xmlns:ds="http://schemas.openxmlformats.org/officeDocument/2006/customXml" ds:itemID="{714C72BF-848E-4B7C-AA88-1978AF30BC73}">
  <ds:schemaRefs/>
</ds:datastoreItem>
</file>

<file path=customXml/itemProps31.xml><?xml version="1.0" encoding="utf-8"?>
<ds:datastoreItem xmlns:ds="http://schemas.openxmlformats.org/officeDocument/2006/customXml" ds:itemID="{7ECBE223-14EC-4FBD-87B2-A1AD8709D8B5}">
  <ds:schemaRefs/>
</ds:datastoreItem>
</file>

<file path=customXml/itemProps32.xml><?xml version="1.0" encoding="utf-8"?>
<ds:datastoreItem xmlns:ds="http://schemas.openxmlformats.org/officeDocument/2006/customXml" ds:itemID="{A6956A9F-CAE5-4470-A8B8-826ECE3E8D18}">
  <ds:schemaRefs/>
</ds:datastoreItem>
</file>

<file path=customXml/itemProps33.xml><?xml version="1.0" encoding="utf-8"?>
<ds:datastoreItem xmlns:ds="http://schemas.openxmlformats.org/officeDocument/2006/customXml" ds:itemID="{C47F0016-66B7-4A39-808C-3E5606C24755}">
  <ds:schemaRefs/>
</ds:datastoreItem>
</file>

<file path=customXml/itemProps34.xml><?xml version="1.0" encoding="utf-8"?>
<ds:datastoreItem xmlns:ds="http://schemas.openxmlformats.org/officeDocument/2006/customXml" ds:itemID="{60310DC8-319B-4C82-9914-97CEA682D689}">
  <ds:schemaRefs/>
</ds:datastoreItem>
</file>

<file path=customXml/itemProps35.xml><?xml version="1.0" encoding="utf-8"?>
<ds:datastoreItem xmlns:ds="http://schemas.openxmlformats.org/officeDocument/2006/customXml" ds:itemID="{102731A7-560F-4D2F-A6BC-496D83AC7889}">
  <ds:schemaRefs/>
</ds:datastoreItem>
</file>

<file path=customXml/itemProps4.xml><?xml version="1.0" encoding="utf-8"?>
<ds:datastoreItem xmlns:ds="http://schemas.openxmlformats.org/officeDocument/2006/customXml" ds:itemID="{7C00E856-1564-4BB8-8C05-9DB31E77EEC9}">
  <ds:schemaRefs/>
</ds:datastoreItem>
</file>

<file path=customXml/itemProps5.xml><?xml version="1.0" encoding="utf-8"?>
<ds:datastoreItem xmlns:ds="http://schemas.openxmlformats.org/officeDocument/2006/customXml" ds:itemID="{FD815D05-9681-463B-8AC6-0AC4081864BD}">
  <ds:schemaRefs/>
</ds:datastoreItem>
</file>

<file path=customXml/itemProps6.xml><?xml version="1.0" encoding="utf-8"?>
<ds:datastoreItem xmlns:ds="http://schemas.openxmlformats.org/officeDocument/2006/customXml" ds:itemID="{2F863E03-BF2F-4181-8A92-59D1A2EFC2CC}">
  <ds:schemaRefs/>
</ds:datastoreItem>
</file>

<file path=customXml/itemProps7.xml><?xml version="1.0" encoding="utf-8"?>
<ds:datastoreItem xmlns:ds="http://schemas.openxmlformats.org/officeDocument/2006/customXml" ds:itemID="{08988DC6-28F3-4539-8D9D-95EA14DC53DA}">
  <ds:schemaRefs/>
</ds:datastoreItem>
</file>

<file path=customXml/itemProps8.xml><?xml version="1.0" encoding="utf-8"?>
<ds:datastoreItem xmlns:ds="http://schemas.openxmlformats.org/officeDocument/2006/customXml" ds:itemID="{74EB2DBE-06E5-4DE1-84D8-9B149371581C}">
  <ds:schemaRefs/>
</ds:datastoreItem>
</file>

<file path=customXml/itemProps9.xml><?xml version="1.0" encoding="utf-8"?>
<ds:datastoreItem xmlns:ds="http://schemas.openxmlformats.org/officeDocument/2006/customXml" ds:itemID="{1E63C961-CC85-4E55-A9EE-C051FA029D99}">
  <ds:schemaRefs/>
</ds:datastoreItem>
</file>

<file path=docProps/app.xml><?xml version="1.0" encoding="utf-8"?>
<Properties xmlns="http://schemas.openxmlformats.org/officeDocument/2006/extended-properties" xmlns:vt="http://schemas.openxmlformats.org/officeDocument/2006/docPropsVTypes">
  <Template>Normal</Template>
  <Pages>15</Pages>
  <Words>1113</Words>
  <Characters>6347</Characters>
  <Lines>52</Lines>
  <Paragraphs>14</Paragraphs>
  <TotalTime>5</TotalTime>
  <ScaleCrop>false</ScaleCrop>
  <LinksUpToDate>false</LinksUpToDate>
  <CharactersWithSpaces>7446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2022-02-23T06:55:00Z</dcterms:created>
  <dc:creator>Administrator</dc:creator>
  <cp:lastModifiedBy>Administrator</cp:lastModifiedBy>
  <dcterms:modified xsi:type="dcterms:W3CDTF">2022-12-27T03:44:59Z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