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F4" w:rsidRDefault="001E4CF4" w:rsidP="001E4CF4">
      <w:pPr>
        <w:jc w:val="center"/>
        <w:rPr>
          <w:rFonts w:ascii="宋体" w:eastAsia="宋体" w:hAnsi="宋体"/>
          <w:b/>
          <w:color w:val="000000"/>
          <w:sz w:val="72"/>
        </w:rPr>
      </w:pPr>
    </w:p>
    <w:p w:rsidR="001E4CF4" w:rsidRDefault="001E4CF4" w:rsidP="001E4CF4">
      <w:pPr>
        <w:jc w:val="center"/>
        <w:rPr>
          <w:rFonts w:ascii="宋体" w:eastAsia="宋体" w:hAnsi="宋体"/>
          <w:b/>
          <w:color w:val="000000"/>
          <w:sz w:val="72"/>
        </w:rPr>
      </w:pPr>
      <w:r>
        <w:rPr>
          <w:rFonts w:ascii="宋体" w:eastAsia="宋体" w:hAnsi="宋体"/>
          <w:b/>
          <w:color w:val="000000"/>
          <w:sz w:val="72"/>
        </w:rPr>
        <w:t>2021年唐山市部门绩效（草案）</w:t>
      </w:r>
    </w:p>
    <w:p w:rsidR="001E4CF4" w:rsidRDefault="001E4CF4" w:rsidP="001E4CF4">
      <w:pPr>
        <w:jc w:val="center"/>
        <w:rPr>
          <w:rFonts w:ascii="宋体" w:eastAsia="宋体" w:hAnsi="宋体"/>
          <w:b/>
          <w:color w:val="000000"/>
          <w:sz w:val="7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/>
          <w:b/>
          <w:color w:val="000000"/>
          <w:sz w:val="52"/>
        </w:rPr>
        <w:t>唐山市中级人民法院</w:t>
      </w: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/>
          <w:b/>
          <w:color w:val="000000"/>
          <w:sz w:val="52"/>
        </w:rPr>
        <w:t>唐山市中级人民法院编制</w:t>
      </w:r>
    </w:p>
    <w:p w:rsidR="001E4CF4" w:rsidRDefault="001E4CF4" w:rsidP="001E4CF4">
      <w:pPr>
        <w:jc w:val="center"/>
        <w:rPr>
          <w:rFonts w:ascii="楷体" w:eastAsia="楷体" w:hAnsi="宋体"/>
          <w:b/>
          <w:color w:val="000000"/>
          <w:sz w:val="52"/>
        </w:rPr>
        <w:sectPr w:rsidR="001E4CF4" w:rsidSect="001E4CF4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楷体" w:eastAsia="楷体" w:hAnsi="宋体"/>
          <w:b/>
          <w:color w:val="000000"/>
          <w:sz w:val="52"/>
        </w:rPr>
        <w:t>唐山市财政局审核</w:t>
      </w:r>
    </w:p>
    <w:p w:rsidR="001E4CF4" w:rsidRPr="001E4CF4" w:rsidRDefault="001E4CF4" w:rsidP="001E4CF4">
      <w:pPr>
        <w:jc w:val="center"/>
        <w:rPr>
          <w:rFonts w:ascii="宋体" w:eastAsia="宋体" w:hAnsi="宋体"/>
          <w:b/>
          <w:noProof/>
          <w:color w:val="000000"/>
          <w:sz w:val="32"/>
        </w:rPr>
      </w:pPr>
      <w:r w:rsidRPr="001E4CF4">
        <w:rPr>
          <w:rFonts w:ascii="宋体" w:eastAsia="宋体" w:hAnsi="宋体"/>
          <w:b/>
          <w:color w:val="000000"/>
          <w:sz w:val="32"/>
        </w:rPr>
        <w:lastRenderedPageBreak/>
        <w:t>目 录</w:t>
      </w:r>
      <w:r w:rsidR="00BE07E3" w:rsidRPr="001E4CF4">
        <w:rPr>
          <w:rFonts w:ascii="宋体" w:eastAsia="宋体" w:hAnsi="宋体"/>
          <w:b/>
          <w:color w:val="000000"/>
          <w:sz w:val="32"/>
        </w:rPr>
        <w:fldChar w:fldCharType="begin"/>
      </w:r>
      <w:r w:rsidRPr="001E4CF4">
        <w:rPr>
          <w:rFonts w:ascii="宋体" w:eastAsia="宋体" w:hAnsi="宋体"/>
          <w:b/>
          <w:color w:val="000000"/>
          <w:sz w:val="32"/>
        </w:rPr>
        <w:instrText xml:space="preserve"> TOC \o "1-3" \h \u </w:instrText>
      </w:r>
      <w:r w:rsidR="00BE07E3" w:rsidRPr="001E4CF4">
        <w:rPr>
          <w:rFonts w:ascii="宋体" w:eastAsia="宋体" w:hAnsi="宋体"/>
          <w:b/>
          <w:color w:val="000000"/>
          <w:sz w:val="32"/>
        </w:rPr>
        <w:fldChar w:fldCharType="separate"/>
      </w:r>
    </w:p>
    <w:p w:rsidR="001E4CF4" w:rsidRPr="001E4CF4" w:rsidRDefault="00BE07E3">
      <w:pPr>
        <w:pStyle w:val="10"/>
        <w:tabs>
          <w:tab w:val="right" w:leader="dot" w:pos="8296"/>
        </w:tabs>
        <w:rPr>
          <w:rFonts w:ascii="宋体" w:eastAsia="宋体" w:hAnsi="宋体"/>
          <w:b/>
          <w:noProof/>
          <w:color w:val="000000"/>
          <w:sz w:val="32"/>
        </w:rPr>
      </w:pPr>
      <w:hyperlink w:anchor="_Toc60173313" w:history="1">
        <w:r w:rsidR="001E4CF4" w:rsidRPr="001E4CF4">
          <w:rPr>
            <w:rStyle w:val="a4"/>
            <w:rFonts w:ascii="宋体" w:eastAsia="宋体" w:hAnsi="宋体" w:hint="eastAsia"/>
            <w:b/>
            <w:noProof/>
            <w:color w:val="000000"/>
            <w:sz w:val="32"/>
            <w:u w:val="none"/>
          </w:rPr>
          <w:t>部门总体绩效目标及保障措施</w:t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tab/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begin"/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instrText xml:space="preserve"> PAGEREF _Toc60173313 \h </w:instrText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separate"/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t>3</w:t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end"/>
        </w:r>
      </w:hyperlink>
    </w:p>
    <w:p w:rsidR="001E4CF4" w:rsidRPr="001E4CF4" w:rsidRDefault="00BE07E3">
      <w:pPr>
        <w:pStyle w:val="10"/>
        <w:tabs>
          <w:tab w:val="right" w:leader="dot" w:pos="8296"/>
        </w:tabs>
        <w:rPr>
          <w:rFonts w:ascii="宋体" w:eastAsia="宋体" w:hAnsi="宋体"/>
          <w:b/>
          <w:noProof/>
          <w:color w:val="000000"/>
          <w:sz w:val="32"/>
        </w:rPr>
      </w:pPr>
      <w:hyperlink w:anchor="_Toc60173314" w:history="1">
        <w:r w:rsidR="001E4CF4" w:rsidRPr="001E4CF4">
          <w:rPr>
            <w:rStyle w:val="a4"/>
            <w:rFonts w:ascii="宋体" w:eastAsia="宋体" w:hAnsi="宋体" w:hint="eastAsia"/>
            <w:b/>
            <w:noProof/>
            <w:color w:val="000000"/>
            <w:sz w:val="32"/>
            <w:u w:val="none"/>
          </w:rPr>
          <w:t>预算项目绩效表</w:t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tab/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begin"/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instrText xml:space="preserve"> PAGEREF _Toc60173314 \h </w:instrText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separate"/>
        </w:r>
        <w:r w:rsidR="001E4CF4" w:rsidRPr="001E4CF4">
          <w:rPr>
            <w:rFonts w:ascii="宋体" w:eastAsia="宋体" w:hAnsi="宋体"/>
            <w:b/>
            <w:noProof/>
            <w:color w:val="000000"/>
            <w:sz w:val="32"/>
          </w:rPr>
          <w:t>7</w:t>
        </w:r>
        <w:r w:rsidRPr="001E4CF4">
          <w:rPr>
            <w:rFonts w:ascii="宋体" w:eastAsia="宋体" w:hAnsi="宋体"/>
            <w:b/>
            <w:noProof/>
            <w:color w:val="000000"/>
            <w:sz w:val="32"/>
          </w:rPr>
          <w:fldChar w:fldCharType="end"/>
        </w:r>
      </w:hyperlink>
    </w:p>
    <w:p w:rsidR="001E4CF4" w:rsidRDefault="00BE07E3" w:rsidP="001E4CF4">
      <w:pPr>
        <w:jc w:val="center"/>
        <w:rPr>
          <w:rFonts w:ascii="楷体" w:eastAsia="楷体" w:hAnsi="宋体"/>
          <w:b/>
          <w:color w:val="000000"/>
          <w:sz w:val="52"/>
        </w:rPr>
        <w:sectPr w:rsidR="001E4CF4" w:rsidSect="001E4C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E4CF4">
        <w:rPr>
          <w:rFonts w:ascii="宋体" w:eastAsia="宋体" w:hAnsi="宋体"/>
          <w:b/>
          <w:color w:val="000000"/>
          <w:sz w:val="32"/>
        </w:rPr>
        <w:fldChar w:fldCharType="end"/>
      </w:r>
    </w:p>
    <w:p w:rsidR="001E4CF4" w:rsidRDefault="001E4CF4" w:rsidP="001E4CF4">
      <w:pPr>
        <w:pStyle w:val="1"/>
        <w:jc w:val="center"/>
      </w:pPr>
      <w:bookmarkStart w:id="0" w:name="_Toc60173313"/>
      <w:r>
        <w:lastRenderedPageBreak/>
        <w:t>部门总体绩效目标及保障措施</w:t>
      </w:r>
      <w:bookmarkEnd w:id="0"/>
    </w:p>
    <w:p w:rsidR="001E4CF4" w:rsidRDefault="001E4CF4" w:rsidP="001E4CF4">
      <w:pPr>
        <w:jc w:val="left"/>
        <w:rPr>
          <w:rFonts w:ascii="宋体" w:eastAsia="宋体" w:hAnsi="宋体"/>
          <w:b/>
          <w:color w:val="000000"/>
          <w:sz w:val="32"/>
        </w:rPr>
      </w:pPr>
      <w:r>
        <w:rPr>
          <w:rFonts w:ascii="宋体" w:eastAsia="宋体" w:hAnsi="宋体"/>
          <w:b/>
          <w:color w:val="000000"/>
          <w:sz w:val="32"/>
        </w:rPr>
        <w:t>一、部门总体绩效目标</w:t>
      </w:r>
    </w:p>
    <w:p w:rsidR="001E4CF4" w:rsidRPr="00F230B5" w:rsidRDefault="001E4CF4" w:rsidP="00F230B5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F230B5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一、部门总体绩效目标</w:t>
      </w:r>
    </w:p>
    <w:p w:rsidR="002A610A" w:rsidRPr="002A610A" w:rsidRDefault="002A610A" w:rsidP="002A610A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sz w:val="28"/>
          <w:szCs w:val="28"/>
        </w:rPr>
        <w:t>2021年，市法院将坚持以习近平新时代中国特色社会主义思想为指导，全面贯彻党的十九大和十九届二中、三中、四中全会及中央、省、市会议精神，认真落实市委系列会议精神，忠实履行宪法法律职责，为统筹推进疫情防控和经济社会发展，加快实现“三个努力建成”“两个率先”目标，唐山在新时代全面建设经济强省、美丽河北中担重任、挑大梁贡献法院力量。总体绩效目标为：妥善审理经济转型过程中引发的各类矛盾纠纷，依法维护国家安全和社会稳定，严惩各类严重刑事犯罪，积极推进我市平安建设，营造良好的法治环境;改革涉诉信访工作，推动涉诉信访问题在法治轨道内解决；落实司法为民措施，保护被侵权人合法利益，促进国家机关依法行使职权；提高队伍素质和执法能力，高质高效完成各项工作。</w:t>
      </w:r>
    </w:p>
    <w:p w:rsidR="002A610A" w:rsidRPr="002A610A" w:rsidRDefault="002A610A" w:rsidP="002A610A">
      <w:pPr>
        <w:spacing w:line="360" w:lineRule="auto"/>
        <w:ind w:firstLineChars="200" w:firstLine="562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2A610A">
        <w:rPr>
          <w:rFonts w:ascii="宋体" w:eastAsia="宋体" w:hAnsi="宋体" w:hint="eastAsia"/>
          <w:b/>
          <w:color w:val="000000"/>
          <w:sz w:val="28"/>
          <w:szCs w:val="28"/>
        </w:rPr>
        <w:t xml:space="preserve">二、 分项绩效目标 </w:t>
      </w:r>
    </w:p>
    <w:p w:rsidR="002A610A" w:rsidRPr="002A610A" w:rsidRDefault="002A610A" w:rsidP="002A610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A610A">
        <w:rPr>
          <w:rFonts w:asciiTheme="minorEastAsia" w:hAnsiTheme="minorEastAsia" w:cs="Times New Roman" w:hint="eastAsia"/>
          <w:sz w:val="28"/>
          <w:szCs w:val="28"/>
        </w:rPr>
        <w:t>1.</w:t>
      </w:r>
      <w:r w:rsidRPr="002A610A">
        <w:rPr>
          <w:rFonts w:asciiTheme="minorEastAsia" w:hAnsiTheme="minorEastAsia" w:hint="eastAsia"/>
          <w:sz w:val="28"/>
          <w:szCs w:val="28"/>
        </w:rPr>
        <w:t xml:space="preserve"> 完成案件审判、案件判决执行、审判管理和司法技术辅助工作</w:t>
      </w:r>
    </w:p>
    <w:p w:rsidR="002A610A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t>绩效目标：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依法审判法律规定由市中级人民法院管辖的刑事、民事、行政等第一、二审案件，依法完成死刑案件复核工作，依法办理发生法律效力判决、其他法律文书的执行，做好审判管理工作和司法技术工作。</w:t>
      </w:r>
    </w:p>
    <w:p w:rsidR="002A610A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绩效指标：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案件结案率</w:t>
      </w:r>
      <w:r w:rsidRPr="002A610A">
        <w:rPr>
          <w:rFonts w:asciiTheme="minorEastAsia" w:hAnsiTheme="minorEastAsia" w:cs="宋体" w:hint="eastAsia"/>
          <w:sz w:val="28"/>
          <w:szCs w:val="28"/>
        </w:rPr>
        <w:t>≧95%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、发回重审率</w:t>
      </w:r>
      <w:r w:rsidRPr="002A610A">
        <w:rPr>
          <w:rFonts w:asciiTheme="minorEastAsia" w:hAnsiTheme="minorEastAsia" w:cs="宋体" w:hint="eastAsia"/>
          <w:sz w:val="28"/>
          <w:szCs w:val="28"/>
        </w:rPr>
        <w:t>≦3%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、案件流程公开率</w:t>
      </w:r>
      <w:r w:rsidRPr="002A610A">
        <w:rPr>
          <w:rFonts w:asciiTheme="minorEastAsia" w:hAnsiTheme="minorEastAsia" w:cs="宋体" w:hint="eastAsia"/>
          <w:sz w:val="28"/>
          <w:szCs w:val="28"/>
        </w:rPr>
        <w:t>≧100%</w:t>
      </w:r>
    </w:p>
    <w:p w:rsidR="002A610A" w:rsidRPr="002A610A" w:rsidRDefault="002A610A" w:rsidP="002A610A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sz w:val="28"/>
          <w:szCs w:val="28"/>
        </w:rPr>
        <w:t>2.</w:t>
      </w:r>
      <w:r w:rsidRPr="002A610A">
        <w:rPr>
          <w:rFonts w:asciiTheme="minorEastAsia" w:hAnsiTheme="minorEastAsia" w:hint="eastAsia"/>
          <w:sz w:val="28"/>
          <w:szCs w:val="28"/>
        </w:rPr>
        <w:t xml:space="preserve"> 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完成涉法涉诉类案件的息诉罢访工作，依法办理国家赔偿案件</w:t>
      </w:r>
    </w:p>
    <w:p w:rsidR="002A610A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t>绩效目标：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改革涉诉信访工作，推动涉诉信访问题在法治轨道内解决；落实司法为民措施，保护被侵权人合法利益，促进国家机关依法行使职权。</w:t>
      </w:r>
    </w:p>
    <w:p w:rsidR="002A610A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t>绩效指标：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司法救助资金发放率</w:t>
      </w:r>
      <w:r w:rsidRPr="002A610A">
        <w:rPr>
          <w:rFonts w:asciiTheme="minorEastAsia" w:hAnsiTheme="minorEastAsia" w:cs="宋体" w:hint="eastAsia"/>
          <w:sz w:val="28"/>
          <w:szCs w:val="28"/>
        </w:rPr>
        <w:t>≧100%</w:t>
      </w:r>
    </w:p>
    <w:p w:rsidR="002A610A" w:rsidRPr="002A610A" w:rsidRDefault="002A610A" w:rsidP="002A610A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sz w:val="28"/>
          <w:szCs w:val="28"/>
        </w:rPr>
        <w:t>3.</w:t>
      </w:r>
      <w:r w:rsidRPr="002A610A">
        <w:rPr>
          <w:rFonts w:asciiTheme="minorEastAsia" w:hAnsiTheme="minorEastAsia" w:hint="eastAsia"/>
          <w:sz w:val="28"/>
          <w:szCs w:val="28"/>
        </w:rPr>
        <w:t xml:space="preserve"> 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完成综合业务管理和综合事务管理工作</w:t>
      </w:r>
    </w:p>
    <w:p w:rsidR="002A610A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t>绩效目标：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加强法院系统队伍建设，加强法院基础设施及信息化建设，加强培训及法院文化建设；总结人民法院审判业务工作经验，建立绩效考核制度，加强对外宣传以及舆论引导，树立法院良好形象。领导全市人民法院的监察工作；管理全市法院司法行政工作；承办其它应由市中级人民法院负责的工作。</w:t>
      </w:r>
    </w:p>
    <w:p w:rsidR="001E4CF4" w:rsidRPr="002A610A" w:rsidRDefault="002A610A" w:rsidP="002A610A">
      <w:pPr>
        <w:spacing w:line="360" w:lineRule="auto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2A610A">
        <w:rPr>
          <w:rFonts w:asciiTheme="minorEastAsia" w:hAnsiTheme="minorEastAsia" w:cs="Times New Roman" w:hint="eastAsia"/>
          <w:b/>
          <w:sz w:val="28"/>
          <w:szCs w:val="28"/>
        </w:rPr>
        <w:t>绩效指标：</w:t>
      </w:r>
      <w:r w:rsidRPr="002A610A">
        <w:rPr>
          <w:rFonts w:asciiTheme="minorEastAsia" w:hAnsiTheme="minorEastAsia" w:cs="Times New Roman" w:hint="eastAsia"/>
          <w:sz w:val="28"/>
          <w:szCs w:val="28"/>
        </w:rPr>
        <w:t>综合业务管理工作完成率</w:t>
      </w:r>
      <w:r w:rsidRPr="002A610A">
        <w:rPr>
          <w:rFonts w:asciiTheme="minorEastAsia" w:hAnsiTheme="minorEastAsia" w:cs="宋体" w:hint="eastAsia"/>
          <w:sz w:val="28"/>
          <w:szCs w:val="28"/>
        </w:rPr>
        <w:t>≧95%</w:t>
      </w:r>
    </w:p>
    <w:p w:rsidR="001E4CF4" w:rsidRDefault="001E4CF4" w:rsidP="001E4CF4">
      <w:pPr>
        <w:jc w:val="left"/>
        <w:rPr>
          <w:rFonts w:ascii="宋体" w:eastAsia="宋体" w:hAnsi="宋体"/>
          <w:b/>
          <w:color w:val="000000"/>
          <w:sz w:val="32"/>
        </w:rPr>
      </w:pPr>
      <w:r>
        <w:rPr>
          <w:rFonts w:ascii="宋体" w:eastAsia="宋体" w:hAnsi="宋体"/>
          <w:b/>
          <w:color w:val="000000"/>
          <w:sz w:val="32"/>
        </w:rPr>
        <w:t>二、目标规划及保障措施</w:t>
      </w:r>
    </w:p>
    <w:p w:rsidR="001E4CF4" w:rsidRPr="00607BCA" w:rsidRDefault="001E4CF4" w:rsidP="00607BCA">
      <w:pPr>
        <w:spacing w:line="59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607BCA">
        <w:rPr>
          <w:rFonts w:ascii="宋体" w:eastAsia="宋体" w:hAnsi="宋体" w:cs="Times New Roman" w:hint="eastAsia"/>
          <w:sz w:val="28"/>
          <w:szCs w:val="28"/>
        </w:rPr>
        <w:t>2021年，全市法院将</w:t>
      </w: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坚持以习近平新时代中国特色社会主义思想为指导，全面贯彻党的十九大和十九届二中、三中、四中全会及中央、省、市会议精神，认真落实市委系列会议精神，忠实履行宪法法律职责，为统筹推进疫情防控和经济社会发展，加快实现“三个努力建成”“两个率先”目标，</w:t>
      </w:r>
      <w:r w:rsidRPr="00607BCA">
        <w:rPr>
          <w:rFonts w:ascii="宋体" w:eastAsia="宋体" w:hAnsi="宋体" w:cs="Times New Roman" w:hint="eastAsia"/>
          <w:sz w:val="28"/>
          <w:szCs w:val="28"/>
        </w:rPr>
        <w:t>唐山在新时代全面建设经济强省、美丽河北中担重任、挑大梁贡献法院力量。</w:t>
      </w: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为确保2021年市法院工作计划</w:t>
      </w: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圆满完成，必须突出以下几个方面做好保障措施：</w:t>
      </w:r>
    </w:p>
    <w:p w:rsidR="001E4CF4" w:rsidRPr="00607BCA" w:rsidRDefault="001E4CF4" w:rsidP="00607BCA">
      <w:pPr>
        <w:spacing w:line="570" w:lineRule="exact"/>
        <w:ind w:firstLineChars="200" w:firstLine="56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（一）强化组织领导，层层压实责任。严格落实主体责，强化“一把手”第一责任人意识，分管院领导要履行好“一岗双责”，院庭长带头以上率下狠抓工作落实，努力形成一级做给一级看，一级带着一级干的良好氛围。切实把服务发展大局、提升审执质效、提升人民群众满意度、深化司法改革、加强队伍建设等各项工作有机结合起来，力争做到各项工作协调发展、相互促进、相得益彰。积极按照“五个一”工作机制，制定具体细化的任务清单、责任清单、措施清单、效果清单，量化具体指标、时间进度和质量要求，推动工作项目化、项目目标化、目标责任化。</w:t>
      </w:r>
    </w:p>
    <w:p w:rsidR="001E4CF4" w:rsidRPr="00607BCA" w:rsidRDefault="001E4CF4" w:rsidP="00607BCA">
      <w:pPr>
        <w:adjustRightInd w:val="0"/>
        <w:snapToGrid w:val="0"/>
        <w:spacing w:line="57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（二）细化改革措施，奋力提质增效。坚持问题导向，根据实际不断修改完善司法改革相关制度措施。建立科学的考评机制。不断增强考核办法系统化和信息化水平，破解手动操作完成任务量庞大、周期较长、效率不高等问题，使考核工作更加高效、便捷、公开。加强新型办案团队建设，用足用好中央关于聘用制书记员管理改革政策，配齐配优新型审判辅助力量。健全新型审判监督管理机制，运用信息化思维和手段推动审判监督管理制度转型，推动审判监督管理向全院、全员、全过程的实时动态监管转变。</w:t>
      </w:r>
    </w:p>
    <w:p w:rsidR="001E4CF4" w:rsidRPr="00607BCA" w:rsidRDefault="001E4CF4" w:rsidP="00607BCA">
      <w:pPr>
        <w:spacing w:line="570" w:lineRule="exact"/>
        <w:ind w:firstLineChars="200" w:firstLine="56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（三）强化工作标准，推动进位争先。以“争第一、创唯一”高标准，对标先进单位，以事争一流的劲头推动工作横比争先、纵比进位，确保各项工作在全省法院系统中位次前列、质效更优。要瞄准目标不放松，着力培树先进典型，学先进、找差距，想措施、定目标，改变相对落后的局面。在审判质效和人民群众满意度方面要努力持续进档升级，先进基层院争取进入全省前十并保持增量，暂时落后基层</w:t>
      </w: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院要全部退出全省178个基层法院后二十名并持续进位。以实际成效，为加快实现“三个努力建成”目标提供更优质司法服务和保障。</w:t>
      </w:r>
    </w:p>
    <w:p w:rsidR="001E4CF4" w:rsidRPr="00607BCA" w:rsidRDefault="001E4CF4" w:rsidP="00607BCA">
      <w:pPr>
        <w:spacing w:line="57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607BCA">
        <w:rPr>
          <w:rFonts w:ascii="宋体" w:eastAsia="宋体" w:hAnsi="宋体" w:cs="Times New Roman" w:hint="eastAsia"/>
          <w:color w:val="000000"/>
          <w:sz w:val="28"/>
          <w:szCs w:val="28"/>
        </w:rPr>
        <w:t>（四）强化督导考核，持续跟踪问效。聚焦审判执行、涉诉信访、扫黑除恶、信息宣传、安全保卫等各项工作，将任务目标完成情况纳入各级领导班子和领导干部绩效考核内容，实施台账管理，严格督导问效，考核结果作为干部提拔使用、评先评优的重要依据。健全完善常态化督导机制和综合考评机制，常态化开展督导检查、明察暗访，及时通报情况、整改问题，对工作不力、落实不到位、造成严重影响的，严肃追责问责，确保各项工作落地落实。</w:t>
      </w:r>
    </w:p>
    <w:p w:rsidR="001E4CF4" w:rsidRPr="009B657A" w:rsidRDefault="001E4CF4" w:rsidP="009B657A">
      <w:pPr>
        <w:pStyle w:val="a3"/>
        <w:widowControl w:val="0"/>
        <w:spacing w:before="0" w:beforeAutospacing="0" w:after="0" w:afterAutospacing="0" w:line="570" w:lineRule="exact"/>
        <w:ind w:firstLineChars="200" w:firstLine="600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</w:p>
    <w:p w:rsidR="001E4CF4" w:rsidRDefault="001E4CF4">
      <w:pPr>
        <w:widowControl/>
        <w:jc w:val="left"/>
        <w:rPr>
          <w:rFonts w:ascii="宋体" w:eastAsia="宋体" w:hAnsi="宋体"/>
          <w:b/>
          <w:color w:val="000000"/>
          <w:sz w:val="32"/>
        </w:rPr>
      </w:pPr>
      <w:r>
        <w:rPr>
          <w:rFonts w:ascii="宋体" w:eastAsia="宋体" w:hAnsi="宋体"/>
          <w:b/>
          <w:color w:val="000000"/>
          <w:sz w:val="32"/>
        </w:rPr>
        <w:br w:type="page"/>
      </w:r>
    </w:p>
    <w:p w:rsidR="001E4CF4" w:rsidRDefault="001E4CF4" w:rsidP="001E4CF4">
      <w:pPr>
        <w:pStyle w:val="1"/>
        <w:jc w:val="center"/>
      </w:pPr>
      <w:bookmarkStart w:id="1" w:name="_Toc60173314"/>
      <w:r>
        <w:lastRenderedPageBreak/>
        <w:t>预算项目绩效表</w:t>
      </w:r>
      <w:bookmarkEnd w:id="1"/>
    </w:p>
    <w:p w:rsidR="001E4CF4" w:rsidRDefault="001E4CF4" w:rsidP="001E4CF4">
      <w:pPr>
        <w:spacing w:line="480" w:lineRule="auto"/>
        <w:jc w:val="left"/>
        <w:rPr>
          <w:rFonts w:ascii="宋体" w:eastAsia="宋体" w:hAnsi="宋体"/>
          <w:b/>
          <w:color w:val="000000"/>
          <w:sz w:val="28"/>
        </w:rPr>
      </w:pPr>
      <w:r>
        <w:rPr>
          <w:rFonts w:ascii="宋体" w:eastAsia="宋体" w:hAnsi="宋体"/>
          <w:b/>
          <w:color w:val="000000"/>
          <w:sz w:val="28"/>
        </w:rPr>
        <w:t>306002 唐山市中级人民法院</w:t>
      </w:r>
    </w:p>
    <w:p w:rsidR="001E4CF4" w:rsidRDefault="001E4CF4" w:rsidP="004B0E7E"/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276"/>
        <w:gridCol w:w="1417"/>
        <w:gridCol w:w="1560"/>
        <w:gridCol w:w="1559"/>
        <w:gridCol w:w="1417"/>
      </w:tblGrid>
      <w:tr w:rsidR="001E4CF4" w:rsidTr="0013528B">
        <w:trPr>
          <w:trHeight w:val="7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306002B21DX0001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市中级人民法院院史馆建设经费</w:t>
            </w:r>
          </w:p>
        </w:tc>
      </w:tr>
      <w:tr w:rsidR="001E4CF4" w:rsidTr="0013528B">
        <w:trPr>
          <w:trHeight w:val="9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项目预算资金</w:t>
            </w:r>
            <w:r>
              <w:rPr>
                <w:rFonts w:ascii="宋体" w:eastAsia="宋体" w:hAnsi="宋体" w:cs="宋体"/>
                <w:sz w:val="24"/>
              </w:rPr>
              <w:t>70万元，全部为财政资金，来源于法院行政事业性收费，主要用于项目场地改造、设备采购安装、雕塑制作费和设计费支出。</w:t>
            </w:r>
          </w:p>
        </w:tc>
      </w:tr>
      <w:tr w:rsidR="001E4CF4" w:rsidTr="0013528B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第四季度</w:t>
            </w:r>
          </w:p>
        </w:tc>
      </w:tr>
      <w:tr w:rsidR="001E4CF4" w:rsidTr="0013528B">
        <w:trPr>
          <w:trHeight w:val="3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100.00</w:t>
            </w:r>
          </w:p>
        </w:tc>
      </w:tr>
      <w:tr w:rsidR="001E4CF4" w:rsidTr="0013528B">
        <w:trPr>
          <w:trHeight w:val="8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真实客观反映唐山法院的创建、变迁、发展全过程，体现唐山地区司法改革进程；</w:t>
            </w:r>
          </w:p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传承法院历史文化、记录唐山地区法制进程、提升唐山知名度，促进河北法院文化建设。</w:t>
            </w:r>
          </w:p>
        </w:tc>
      </w:tr>
      <w:tr w:rsidR="001E4CF4" w:rsidTr="0013528B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指标值确定依据</w:t>
            </w:r>
          </w:p>
        </w:tc>
      </w:tr>
      <w:tr w:rsidR="001E4CF4" w:rsidTr="0013528B">
        <w:trPr>
          <w:trHeight w:val="7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改造院史馆面积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改造院史馆面积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1000平方米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  <w:tr w:rsidR="001E4CF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工程完成率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  <w:tr w:rsidR="001E4CF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工程完成时限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工程完成时限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2021年12月底前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  <w:tr w:rsidR="001E4CF4" w:rsidTr="0013528B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预算资金完成率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预算资金完成率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95%以上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  <w:tr w:rsidR="001E4CF4" w:rsidTr="0013528B">
        <w:trPr>
          <w:trHeight w:val="65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67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提升唐山法院知名度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提升唐山法院知名度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有所提升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  <w:tr w:rsidR="001E4CF4" w:rsidTr="0013528B">
        <w:trPr>
          <w:trHeight w:val="7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服务对象满意度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服务对象满意度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85%以上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年初工作计划安排</w:t>
            </w:r>
          </w:p>
        </w:tc>
      </w:tr>
    </w:tbl>
    <w:p w:rsidR="001E4CF4" w:rsidRPr="00915955" w:rsidRDefault="001E4CF4" w:rsidP="004B0E7E"/>
    <w:p w:rsidR="001E4CF4" w:rsidRPr="004B0E7E" w:rsidRDefault="001E4CF4" w:rsidP="004B0E7E"/>
    <w:p w:rsidR="001E4CF4" w:rsidRDefault="001E4CF4" w:rsidP="004B0E7E"/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276"/>
        <w:gridCol w:w="1417"/>
        <w:gridCol w:w="1560"/>
        <w:gridCol w:w="1559"/>
        <w:gridCol w:w="1417"/>
      </w:tblGrid>
      <w:tr w:rsidR="001E4CF4" w:rsidTr="0013528B">
        <w:trPr>
          <w:trHeight w:val="7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项目编码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306002B21DX0002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审判执行辅助事务社会化服务费</w:t>
            </w:r>
          </w:p>
        </w:tc>
      </w:tr>
      <w:tr w:rsidR="001E4CF4" w:rsidTr="0013528B">
        <w:trPr>
          <w:trHeight w:val="9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项目预算资金</w:t>
            </w:r>
            <w:r>
              <w:rPr>
                <w:rFonts w:ascii="宋体" w:eastAsia="宋体" w:hAnsi="宋体" w:cs="宋体"/>
                <w:sz w:val="24"/>
              </w:rPr>
              <w:t>850万元，全部为财政资金，资金由往年的公用经费调剂解决，具体来源：107.13万元为财政拨款， 507.87 万元为行政事业性收费，  235万元为罚没收入。主要用于</w:t>
            </w:r>
            <w:r w:rsidR="007D4802">
              <w:rPr>
                <w:rFonts w:ascii="宋体" w:eastAsia="宋体" w:hAnsi="宋体" w:cs="宋体" w:hint="eastAsia"/>
                <w:sz w:val="24"/>
              </w:rPr>
              <w:t>该</w:t>
            </w:r>
            <w:r>
              <w:rPr>
                <w:rFonts w:ascii="宋体" w:eastAsia="宋体" w:hAnsi="宋体" w:cs="宋体"/>
                <w:sz w:val="24"/>
              </w:rPr>
              <w:t>项目的委托业务费。</w:t>
            </w:r>
          </w:p>
        </w:tc>
      </w:tr>
      <w:tr w:rsidR="001E4CF4" w:rsidTr="0013528B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第四季度</w:t>
            </w:r>
          </w:p>
        </w:tc>
      </w:tr>
      <w:tr w:rsidR="001E4CF4" w:rsidTr="0013528B">
        <w:trPr>
          <w:trHeight w:val="3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100.00</w:t>
            </w:r>
          </w:p>
        </w:tc>
      </w:tr>
      <w:tr w:rsidR="001E4CF4" w:rsidTr="0013528B">
        <w:trPr>
          <w:trHeight w:val="8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有效缓和人案矛盾，提高审执质量；</w:t>
            </w:r>
          </w:p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加快案件流转，缩短案件审判周期；</w:t>
            </w:r>
          </w:p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灵活用工形式，规避劳资关系风险。</w:t>
            </w:r>
          </w:p>
        </w:tc>
      </w:tr>
      <w:tr w:rsidR="001E4CF4" w:rsidTr="0013528B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指标值确定依据</w:t>
            </w:r>
          </w:p>
        </w:tc>
      </w:tr>
      <w:tr w:rsidR="001E4CF4" w:rsidTr="0013528B">
        <w:trPr>
          <w:trHeight w:val="7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结案率增长百分比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结案率增长百分比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eastAsia="宋体" w:hAnsi="宋体" w:cs="宋体"/>
                <w:kern w:val="0"/>
                <w:sz w:val="24"/>
              </w:rPr>
              <w:t>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  <w:tr w:rsidR="001E4CF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项目完成率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eastAsia="宋体" w:hAnsi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  <w:tr w:rsidR="001E4CF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项目完成时限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项目完成时限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2021年12月底前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  <w:tr w:rsidR="001E4CF4" w:rsidTr="0013528B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预算资金完成率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预算资金完成率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eastAsia="宋体" w:hAnsi="宋体" w:cs="宋体"/>
                <w:kern w:val="0"/>
                <w:sz w:val="24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  <w:tr w:rsidR="001E4CF4" w:rsidTr="0013528B">
        <w:trPr>
          <w:trHeight w:val="65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67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一审服判息诉率提高百分比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一审服判息诉率提高百分比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eastAsia="宋体" w:hAnsi="宋体" w:cs="宋体"/>
                <w:kern w:val="0"/>
                <w:sz w:val="24"/>
              </w:rPr>
              <w:t>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  <w:tr w:rsidR="001E4CF4" w:rsidTr="0013528B">
        <w:trPr>
          <w:trHeight w:val="7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4CF4" w:rsidTr="0013528B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服务对象满意度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群众满意度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CF4" w:rsidRDefault="001E4CF4" w:rsidP="0013528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根据年初工作计划安排</w:t>
            </w:r>
          </w:p>
        </w:tc>
      </w:tr>
    </w:tbl>
    <w:p w:rsidR="001E4CF4" w:rsidRPr="00915955" w:rsidRDefault="001E4CF4" w:rsidP="004B0E7E"/>
    <w:p w:rsidR="001E4CF4" w:rsidRPr="004B0E7E" w:rsidRDefault="001E4CF4" w:rsidP="004B0E7E"/>
    <w:p w:rsidR="00264DAB" w:rsidRPr="001E4CF4" w:rsidRDefault="00264DAB" w:rsidP="001E4CF4">
      <w:pPr>
        <w:spacing w:line="360" w:lineRule="auto"/>
        <w:jc w:val="left"/>
        <w:rPr>
          <w:rFonts w:ascii="宋体" w:eastAsia="宋体" w:hAnsi="宋体"/>
          <w:b/>
          <w:color w:val="000000"/>
          <w:sz w:val="28"/>
        </w:rPr>
      </w:pPr>
    </w:p>
    <w:sectPr w:rsidR="00264DAB" w:rsidRPr="001E4CF4" w:rsidSect="001E4C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58" w:rsidRDefault="00293658" w:rsidP="001E4CF4">
      <w:r>
        <w:separator/>
      </w:r>
    </w:p>
  </w:endnote>
  <w:endnote w:type="continuationSeparator" w:id="1">
    <w:p w:rsidR="00293658" w:rsidRDefault="00293658" w:rsidP="001E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F4" w:rsidRDefault="001E4CF4" w:rsidP="001E4CF4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\* MERGEFORMAT ">
      <w:r w:rsidR="002A610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F4" w:rsidRDefault="001E4C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58" w:rsidRDefault="00293658" w:rsidP="001E4CF4">
      <w:r>
        <w:separator/>
      </w:r>
    </w:p>
  </w:footnote>
  <w:footnote w:type="continuationSeparator" w:id="1">
    <w:p w:rsidR="00293658" w:rsidRDefault="00293658" w:rsidP="001E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F4"/>
    <w:rsid w:val="001E4CF4"/>
    <w:rsid w:val="00264DAB"/>
    <w:rsid w:val="00293658"/>
    <w:rsid w:val="002A610A"/>
    <w:rsid w:val="006734AA"/>
    <w:rsid w:val="007D4802"/>
    <w:rsid w:val="008C5715"/>
    <w:rsid w:val="00BE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4C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4CF4"/>
    <w:rPr>
      <w:b/>
      <w:bCs/>
      <w:kern w:val="44"/>
      <w:sz w:val="44"/>
      <w:szCs w:val="44"/>
    </w:rPr>
  </w:style>
  <w:style w:type="paragraph" w:styleId="a3">
    <w:name w:val="Normal (Web)"/>
    <w:basedOn w:val="a"/>
    <w:rsid w:val="001E4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1E4CF4"/>
  </w:style>
  <w:style w:type="character" w:styleId="a4">
    <w:name w:val="Hyperlink"/>
    <w:basedOn w:val="a0"/>
    <w:uiPriority w:val="99"/>
    <w:unhideWhenUsed/>
    <w:rsid w:val="001E4CF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E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4C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4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4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2020-12-29T14:28:00Z</dcterms:created>
  <dcterms:modified xsi:type="dcterms:W3CDTF">2021-02-09T00:55:00Z</dcterms:modified>
</cp:coreProperties>
</file>