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olor w:val="000000"/>
          <w:sz w:val="36"/>
        </w:rPr>
      </w:pPr>
      <w:r>
        <w:rPr>
          <w:rFonts w:hint="eastAsia" w:ascii="黑体" w:hAnsi="黑体" w:eastAsia="黑体"/>
          <w:color w:val="000000"/>
          <w:sz w:val="36"/>
        </w:rPr>
        <w:t>四川省高级人民法院</w:t>
      </w:r>
    </w:p>
    <w:p>
      <w:pPr>
        <w:jc w:val="center"/>
        <w:rPr>
          <w:rFonts w:ascii="黑体" w:hAnsi="黑体" w:eastAsia="黑体"/>
          <w:color w:val="000000"/>
          <w:sz w:val="36"/>
        </w:rPr>
      </w:pPr>
    </w:p>
    <w:p>
      <w:pPr>
        <w:jc w:val="center"/>
        <w:rPr>
          <w:rFonts w:ascii="黑体" w:hAnsi="黑体" w:eastAsia="黑体"/>
          <w:color w:val="000000"/>
          <w:sz w:val="36"/>
        </w:rPr>
      </w:pPr>
      <w:r>
        <w:rPr>
          <w:rFonts w:hint="eastAsia" w:ascii="黑体" w:hAnsi="黑体" w:eastAsia="黑体"/>
          <w:color w:val="000000"/>
          <w:sz w:val="36"/>
        </w:rPr>
        <w:t>卫星通讯带宽租赁项目</w:t>
      </w:r>
    </w:p>
    <w:p>
      <w:pPr>
        <w:jc w:val="center"/>
        <w:rPr>
          <w:rFonts w:ascii="黑体" w:hAnsi="黑体" w:eastAsia="黑体"/>
          <w:color w:val="000000"/>
          <w:sz w:val="36"/>
        </w:rPr>
      </w:pPr>
    </w:p>
    <w:p>
      <w:pPr>
        <w:jc w:val="center"/>
        <w:rPr>
          <w:rFonts w:ascii="黑体" w:hAnsi="黑体" w:eastAsia="黑体"/>
          <w:color w:val="000000"/>
          <w:sz w:val="36"/>
        </w:rPr>
      </w:pPr>
      <w:r>
        <w:rPr>
          <w:rFonts w:hint="eastAsia" w:ascii="黑体" w:hAnsi="黑体" w:eastAsia="黑体"/>
          <w:color w:val="000000"/>
          <w:sz w:val="36"/>
        </w:rPr>
        <w:t>项目方案</w:t>
      </w:r>
    </w:p>
    <w:p>
      <w:pPr>
        <w:jc w:val="center"/>
        <w:rPr>
          <w:rFonts w:ascii="黑体" w:hAnsi="黑体" w:eastAsia="黑体"/>
          <w:color w:val="000000"/>
          <w:sz w:val="36"/>
        </w:rPr>
      </w:pPr>
    </w:p>
    <w:p>
      <w:pPr>
        <w:jc w:val="center"/>
        <w:rPr>
          <w:rFonts w:ascii="黑体" w:hAnsi="黑体" w:eastAsia="黑体"/>
          <w:color w:val="000000"/>
          <w:sz w:val="36"/>
        </w:rPr>
      </w:pPr>
    </w:p>
    <w:p>
      <w:pPr>
        <w:jc w:val="center"/>
        <w:rPr>
          <w:rFonts w:ascii="黑体" w:hAnsi="黑体" w:eastAsia="黑体"/>
          <w:color w:val="000000"/>
          <w:sz w:val="36"/>
        </w:rPr>
      </w:pPr>
    </w:p>
    <w:p>
      <w:pPr>
        <w:jc w:val="center"/>
        <w:rPr>
          <w:rFonts w:ascii="黑体" w:hAnsi="黑体" w:eastAsia="黑体"/>
          <w:color w:val="000000"/>
          <w:sz w:val="36"/>
        </w:rPr>
      </w:pPr>
      <w:r>
        <w:rPr>
          <w:rFonts w:hint="eastAsia" w:ascii="黑体" w:hAnsi="黑体" w:eastAsia="黑体"/>
          <w:color w:val="000000"/>
          <w:sz w:val="36"/>
        </w:rPr>
        <w:t>2021年</w:t>
      </w:r>
      <w:r>
        <w:rPr>
          <w:rFonts w:hint="eastAsia" w:ascii="黑体" w:hAnsi="黑体" w:eastAsia="黑体"/>
          <w:color w:val="000000"/>
          <w:sz w:val="36"/>
          <w:lang w:val="en-US" w:eastAsia="zh-CN"/>
        </w:rPr>
        <w:t>5</w:t>
      </w:r>
      <w:r>
        <w:rPr>
          <w:rFonts w:hint="eastAsia" w:ascii="黑体" w:hAnsi="黑体" w:eastAsia="黑体"/>
          <w:color w:val="000000"/>
          <w:sz w:val="36"/>
        </w:rPr>
        <w:t>月</w:t>
      </w:r>
    </w:p>
    <w:p>
      <w:pPr>
        <w:jc w:val="center"/>
        <w:rPr>
          <w:rFonts w:ascii="黑体" w:hAnsi="黑体" w:eastAsia="黑体"/>
          <w:color w:val="000000"/>
          <w:sz w:val="36"/>
        </w:rPr>
      </w:pPr>
    </w:p>
    <w:p>
      <w:pPr>
        <w:jc w:val="center"/>
        <w:rPr>
          <w:rFonts w:ascii="黑体" w:hAnsi="黑体" w:eastAsia="黑体"/>
          <w:color w:val="000000"/>
          <w:sz w:val="36"/>
        </w:rPr>
      </w:pPr>
    </w:p>
    <w:p>
      <w:pPr>
        <w:jc w:val="center"/>
        <w:rPr>
          <w:rFonts w:ascii="黑体" w:hAnsi="黑体" w:eastAsia="黑体"/>
          <w:color w:val="000000"/>
          <w:sz w:val="36"/>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1020" w:footer="992" w:gutter="0"/>
          <w:pgNumType w:fmt="upperRoman" w:start="1"/>
          <w:cols w:space="720" w:num="1"/>
          <w:docGrid w:type="lines" w:linePitch="312" w:charSpace="0"/>
        </w:sectPr>
      </w:pPr>
      <w:bookmarkStart w:id="61" w:name="_GoBack"/>
      <w:bookmarkEnd w:id="61"/>
    </w:p>
    <w:p>
      <w:pPr>
        <w:pStyle w:val="12"/>
        <w:spacing w:before="156" w:after="156"/>
        <w:ind w:firstLine="560"/>
        <w:textAlignment w:val="baseline"/>
        <w:outlineLvl w:val="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目   录</w:t>
      </w:r>
    </w:p>
    <w:p>
      <w:pPr>
        <w:pStyle w:val="7"/>
        <w:tabs>
          <w:tab w:val="right" w:leader="dot" w:pos="8312"/>
          <w:tab w:val="clear" w:pos="8296"/>
        </w:tabs>
        <w:rPr>
          <w:rFonts w:hint="default" w:ascii="仿宋_GB2312" w:hAnsi="仿宋_GB2312" w:cs="仿宋_GB2312"/>
        </w:rPr>
      </w:pPr>
      <w:r>
        <w:rPr>
          <w:rFonts w:ascii="仿宋_GB2312" w:hAnsi="仿宋_GB2312" w:cs="仿宋_GB2312"/>
          <w:b/>
          <w:color w:val="000000"/>
          <w:szCs w:val="28"/>
        </w:rPr>
        <w:fldChar w:fldCharType="begin"/>
      </w:r>
      <w:r>
        <w:rPr>
          <w:rFonts w:ascii="仿宋_GB2312" w:hAnsi="仿宋_GB2312" w:cs="仿宋_GB2312"/>
          <w:b/>
          <w:color w:val="000000"/>
          <w:szCs w:val="28"/>
        </w:rPr>
        <w:instrText xml:space="preserve">TOC \o "1-3" \t "预算表格及编号,4,图纸名称及编号,5" \h \n 4-5</w:instrText>
      </w:r>
      <w:r>
        <w:rPr>
          <w:rFonts w:ascii="仿宋_GB2312" w:hAnsi="仿宋_GB2312" w:cs="仿宋_GB2312"/>
          <w:b/>
          <w:color w:val="000000"/>
          <w:szCs w:val="28"/>
        </w:rPr>
        <w:fldChar w:fldCharType="separate"/>
      </w:r>
      <w:r>
        <w:fldChar w:fldCharType="begin"/>
      </w:r>
      <w:r>
        <w:instrText xml:space="preserve"> HYPERLINK \l "_Toc26516" </w:instrText>
      </w:r>
      <w:r>
        <w:rPr>
          <w:rFonts w:hint="default"/>
        </w:rPr>
        <w:fldChar w:fldCharType="separate"/>
      </w:r>
      <w:r>
        <w:rPr>
          <w:rFonts w:ascii="仿宋_GB2312" w:hAnsi="仿宋_GB2312" w:cs="仿宋_GB2312"/>
        </w:rPr>
        <w:t>1. 建设背景</w:t>
      </w:r>
      <w:r>
        <w:rPr>
          <w:rFonts w:ascii="仿宋_GB2312" w:hAnsi="仿宋_GB2312" w:cs="仿宋_GB2312"/>
        </w:rPr>
        <w:tab/>
      </w:r>
      <w:r>
        <w:rPr>
          <w:rFonts w:ascii="仿宋_GB2312" w:hAnsi="仿宋_GB2312" w:cs="仿宋_GB2312"/>
        </w:rPr>
        <w:fldChar w:fldCharType="begin"/>
      </w:r>
      <w:r>
        <w:rPr>
          <w:rFonts w:ascii="仿宋_GB2312" w:hAnsi="仿宋_GB2312" w:cs="仿宋_GB2312"/>
        </w:rPr>
        <w:instrText xml:space="preserve"> PAGEREF _Toc26516 </w:instrText>
      </w:r>
      <w:r>
        <w:rPr>
          <w:rFonts w:ascii="仿宋_GB2312" w:hAnsi="仿宋_GB2312" w:cs="仿宋_GB2312"/>
        </w:rPr>
        <w:fldChar w:fldCharType="separate"/>
      </w:r>
      <w:r>
        <w:rPr>
          <w:rFonts w:ascii="仿宋_GB2312" w:hAnsi="仿宋_GB2312" w:cs="仿宋_GB2312"/>
        </w:rPr>
        <w:t>1</w:t>
      </w:r>
      <w:r>
        <w:rPr>
          <w:rFonts w:ascii="仿宋_GB2312" w:hAnsi="仿宋_GB2312" w:cs="仿宋_GB2312"/>
        </w:rPr>
        <w:fldChar w:fldCharType="end"/>
      </w:r>
      <w:r>
        <w:rPr>
          <w:rFonts w:ascii="仿宋_GB2312" w:hAnsi="仿宋_GB2312" w:cs="仿宋_GB2312"/>
        </w:rPr>
        <w:fldChar w:fldCharType="end"/>
      </w:r>
    </w:p>
    <w:p>
      <w:pPr>
        <w:pStyle w:val="7"/>
        <w:tabs>
          <w:tab w:val="right" w:leader="dot" w:pos="8312"/>
          <w:tab w:val="clear" w:pos="8296"/>
        </w:tabs>
        <w:rPr>
          <w:rFonts w:hint="default" w:ascii="仿宋_GB2312" w:hAnsi="仿宋_GB2312" w:cs="仿宋_GB2312"/>
        </w:rPr>
      </w:pPr>
      <w:r>
        <w:fldChar w:fldCharType="begin"/>
      </w:r>
      <w:r>
        <w:instrText xml:space="preserve"> HYPERLINK \l "_Toc10465" </w:instrText>
      </w:r>
      <w:r>
        <w:rPr>
          <w:rFonts w:hint="default"/>
        </w:rPr>
        <w:fldChar w:fldCharType="separate"/>
      </w:r>
      <w:r>
        <w:rPr>
          <w:rFonts w:ascii="仿宋_GB2312" w:hAnsi="仿宋_GB2312" w:cs="仿宋_GB2312"/>
          <w:szCs w:val="22"/>
        </w:rPr>
        <w:t>2. 建设目标</w:t>
      </w:r>
      <w:r>
        <w:rPr>
          <w:rFonts w:ascii="仿宋_GB2312" w:hAnsi="仿宋_GB2312" w:cs="仿宋_GB2312"/>
        </w:rPr>
        <w:tab/>
      </w:r>
      <w:r>
        <w:rPr>
          <w:rFonts w:ascii="仿宋_GB2312" w:hAnsi="仿宋_GB2312" w:cs="仿宋_GB2312"/>
        </w:rPr>
        <w:fldChar w:fldCharType="begin"/>
      </w:r>
      <w:r>
        <w:rPr>
          <w:rFonts w:ascii="仿宋_GB2312" w:hAnsi="仿宋_GB2312" w:cs="仿宋_GB2312"/>
        </w:rPr>
        <w:instrText xml:space="preserve"> PAGEREF _Toc10465 </w:instrText>
      </w:r>
      <w:r>
        <w:rPr>
          <w:rFonts w:ascii="仿宋_GB2312" w:hAnsi="仿宋_GB2312" w:cs="仿宋_GB2312"/>
        </w:rPr>
        <w:fldChar w:fldCharType="separate"/>
      </w:r>
      <w:r>
        <w:rPr>
          <w:rFonts w:ascii="仿宋_GB2312" w:hAnsi="仿宋_GB2312" w:cs="仿宋_GB2312"/>
        </w:rPr>
        <w:t>1</w:t>
      </w:r>
      <w:r>
        <w:rPr>
          <w:rFonts w:ascii="仿宋_GB2312" w:hAnsi="仿宋_GB2312" w:cs="仿宋_GB2312"/>
        </w:rPr>
        <w:fldChar w:fldCharType="end"/>
      </w:r>
      <w:r>
        <w:rPr>
          <w:rFonts w:ascii="仿宋_GB2312" w:hAnsi="仿宋_GB2312" w:cs="仿宋_GB2312"/>
        </w:rPr>
        <w:fldChar w:fldCharType="end"/>
      </w:r>
    </w:p>
    <w:p>
      <w:pPr>
        <w:pStyle w:val="7"/>
        <w:tabs>
          <w:tab w:val="right" w:leader="dot" w:pos="8312"/>
          <w:tab w:val="clear" w:pos="8296"/>
        </w:tabs>
        <w:rPr>
          <w:rFonts w:hint="default" w:ascii="仿宋_GB2312" w:hAnsi="仿宋_GB2312" w:cs="仿宋_GB2312"/>
        </w:rPr>
      </w:pPr>
      <w:r>
        <w:fldChar w:fldCharType="begin"/>
      </w:r>
      <w:r>
        <w:instrText xml:space="preserve"> HYPERLINK \l "_Toc16653" </w:instrText>
      </w:r>
      <w:r>
        <w:rPr>
          <w:rFonts w:hint="default"/>
        </w:rPr>
        <w:fldChar w:fldCharType="separate"/>
      </w:r>
      <w:r>
        <w:rPr>
          <w:rFonts w:ascii="仿宋_GB2312" w:hAnsi="仿宋_GB2312" w:cs="仿宋_GB2312"/>
          <w:szCs w:val="22"/>
        </w:rPr>
        <w:t>3. 建设方案</w:t>
      </w:r>
      <w:r>
        <w:rPr>
          <w:rFonts w:ascii="仿宋_GB2312" w:hAnsi="仿宋_GB2312" w:cs="仿宋_GB2312"/>
        </w:rPr>
        <w:tab/>
      </w:r>
      <w:r>
        <w:rPr>
          <w:rFonts w:ascii="仿宋_GB2312" w:hAnsi="仿宋_GB2312" w:cs="仿宋_GB2312"/>
        </w:rPr>
        <w:fldChar w:fldCharType="begin"/>
      </w:r>
      <w:r>
        <w:rPr>
          <w:rFonts w:ascii="仿宋_GB2312" w:hAnsi="仿宋_GB2312" w:cs="仿宋_GB2312"/>
        </w:rPr>
        <w:instrText xml:space="preserve"> PAGEREF _Toc16653 </w:instrText>
      </w:r>
      <w:r>
        <w:rPr>
          <w:rFonts w:ascii="仿宋_GB2312" w:hAnsi="仿宋_GB2312" w:cs="仿宋_GB2312"/>
        </w:rPr>
        <w:fldChar w:fldCharType="separate"/>
      </w:r>
      <w:r>
        <w:rPr>
          <w:rFonts w:ascii="仿宋_GB2312" w:hAnsi="仿宋_GB2312" w:cs="仿宋_GB2312"/>
        </w:rPr>
        <w:t>1</w:t>
      </w:r>
      <w:r>
        <w:rPr>
          <w:rFonts w:ascii="仿宋_GB2312" w:hAnsi="仿宋_GB2312" w:cs="仿宋_GB2312"/>
        </w:rPr>
        <w:fldChar w:fldCharType="end"/>
      </w:r>
      <w:r>
        <w:rPr>
          <w:rFonts w:ascii="仿宋_GB2312" w:hAnsi="仿宋_GB2312" w:cs="仿宋_GB2312"/>
        </w:rPr>
        <w:fldChar w:fldCharType="end"/>
      </w:r>
    </w:p>
    <w:p>
      <w:pPr>
        <w:pStyle w:val="8"/>
        <w:tabs>
          <w:tab w:val="right" w:leader="dot" w:pos="8312"/>
        </w:tabs>
        <w:ind w:firstLine="560"/>
        <w:rPr>
          <w:rFonts w:ascii="仿宋_GB2312" w:hAnsi="仿宋_GB2312" w:cs="仿宋_GB2312"/>
        </w:rPr>
      </w:pPr>
      <w:r>
        <w:fldChar w:fldCharType="begin"/>
      </w:r>
      <w:r>
        <w:instrText xml:space="preserve"> HYPERLINK \l "_Toc24708" </w:instrText>
      </w:r>
      <w:r>
        <w:fldChar w:fldCharType="separate"/>
      </w:r>
      <w:r>
        <w:rPr>
          <w:rFonts w:hint="eastAsia" w:ascii="仿宋_GB2312" w:hAnsi="仿宋_GB2312" w:cs="仿宋_GB2312"/>
          <w:bCs/>
        </w:rPr>
        <w:t>3.1. 系统拓扑图</w:t>
      </w:r>
      <w:r>
        <w:rPr>
          <w:rFonts w:hint="eastAsia" w:ascii="仿宋_GB2312" w:hAnsi="仿宋_GB2312" w:cs="仿宋_GB2312"/>
        </w:rPr>
        <w:tab/>
      </w:r>
      <w:r>
        <w:rPr>
          <w:rFonts w:hint="eastAsia" w:ascii="仿宋_GB2312" w:hAnsi="仿宋_GB2312" w:cs="仿宋_GB2312"/>
        </w:rPr>
        <w:fldChar w:fldCharType="begin"/>
      </w:r>
      <w:r>
        <w:rPr>
          <w:rFonts w:hint="eastAsia" w:ascii="仿宋_GB2312" w:hAnsi="仿宋_GB2312" w:cs="仿宋_GB2312"/>
        </w:rPr>
        <w:instrText xml:space="preserve"> PAGEREF _Toc24708 </w:instrText>
      </w:r>
      <w:r>
        <w:rPr>
          <w:rFonts w:hint="eastAsia" w:ascii="仿宋_GB2312" w:hAnsi="仿宋_GB2312" w:cs="仿宋_GB2312"/>
        </w:rPr>
        <w:fldChar w:fldCharType="separate"/>
      </w:r>
      <w:r>
        <w:rPr>
          <w:rFonts w:hint="eastAsia" w:ascii="仿宋_GB2312" w:hAnsi="仿宋_GB2312" w:cs="仿宋_GB2312"/>
        </w:rPr>
        <w:t>1</w:t>
      </w:r>
      <w:r>
        <w:rPr>
          <w:rFonts w:hint="eastAsia" w:ascii="仿宋_GB2312" w:hAnsi="仿宋_GB2312" w:cs="仿宋_GB2312"/>
        </w:rPr>
        <w:fldChar w:fldCharType="end"/>
      </w:r>
      <w:r>
        <w:rPr>
          <w:rFonts w:ascii="仿宋_GB2312" w:hAnsi="仿宋_GB2312" w:cs="仿宋_GB2312"/>
        </w:rPr>
        <w:fldChar w:fldCharType="end"/>
      </w:r>
    </w:p>
    <w:p>
      <w:pPr>
        <w:pStyle w:val="8"/>
        <w:tabs>
          <w:tab w:val="right" w:leader="dot" w:pos="8312"/>
        </w:tabs>
        <w:ind w:firstLine="560"/>
        <w:rPr>
          <w:rFonts w:ascii="仿宋_GB2312" w:hAnsi="仿宋_GB2312" w:cs="仿宋_GB2312"/>
        </w:rPr>
      </w:pPr>
      <w:r>
        <w:fldChar w:fldCharType="begin"/>
      </w:r>
      <w:r>
        <w:instrText xml:space="preserve"> HYPERLINK \l "_Toc5530" </w:instrText>
      </w:r>
      <w:r>
        <w:fldChar w:fldCharType="separate"/>
      </w:r>
      <w:r>
        <w:rPr>
          <w:rFonts w:hint="eastAsia" w:ascii="仿宋_GB2312" w:hAnsi="仿宋_GB2312" w:cs="仿宋_GB2312"/>
          <w:bCs/>
        </w:rPr>
        <w:t>3.2. 建设内容</w:t>
      </w:r>
      <w:r>
        <w:rPr>
          <w:rFonts w:hint="eastAsia" w:ascii="仿宋_GB2312" w:hAnsi="仿宋_GB2312" w:cs="仿宋_GB2312"/>
        </w:rPr>
        <w:tab/>
      </w:r>
      <w:r>
        <w:rPr>
          <w:rFonts w:hint="eastAsia" w:ascii="仿宋_GB2312" w:hAnsi="仿宋_GB2312" w:cs="仿宋_GB2312"/>
        </w:rPr>
        <w:fldChar w:fldCharType="begin"/>
      </w:r>
      <w:r>
        <w:rPr>
          <w:rFonts w:hint="eastAsia" w:ascii="仿宋_GB2312" w:hAnsi="仿宋_GB2312" w:cs="仿宋_GB2312"/>
        </w:rPr>
        <w:instrText xml:space="preserve"> PAGEREF _Toc5530 </w:instrText>
      </w:r>
      <w:r>
        <w:rPr>
          <w:rFonts w:hint="eastAsia" w:ascii="仿宋_GB2312" w:hAnsi="仿宋_GB2312" w:cs="仿宋_GB2312"/>
        </w:rPr>
        <w:fldChar w:fldCharType="separate"/>
      </w:r>
      <w:r>
        <w:rPr>
          <w:rFonts w:hint="eastAsia" w:ascii="仿宋_GB2312" w:hAnsi="仿宋_GB2312" w:cs="仿宋_GB2312"/>
        </w:rPr>
        <w:t>2</w:t>
      </w:r>
      <w:r>
        <w:rPr>
          <w:rFonts w:hint="eastAsia" w:ascii="仿宋_GB2312" w:hAnsi="仿宋_GB2312" w:cs="仿宋_GB2312"/>
        </w:rPr>
        <w:fldChar w:fldCharType="end"/>
      </w:r>
      <w:r>
        <w:rPr>
          <w:rFonts w:ascii="仿宋_GB2312" w:hAnsi="仿宋_GB2312" w:cs="仿宋_GB2312"/>
        </w:rPr>
        <w:fldChar w:fldCharType="end"/>
      </w:r>
    </w:p>
    <w:p>
      <w:pPr>
        <w:pStyle w:val="8"/>
        <w:tabs>
          <w:tab w:val="right" w:leader="dot" w:pos="8312"/>
        </w:tabs>
        <w:ind w:firstLine="560"/>
        <w:rPr>
          <w:rFonts w:ascii="仿宋_GB2312" w:hAnsi="仿宋_GB2312" w:cs="仿宋_GB2312"/>
        </w:rPr>
      </w:pPr>
      <w:r>
        <w:fldChar w:fldCharType="begin"/>
      </w:r>
      <w:r>
        <w:instrText xml:space="preserve"> HYPERLINK \l "_Toc6551" </w:instrText>
      </w:r>
      <w:r>
        <w:fldChar w:fldCharType="separate"/>
      </w:r>
      <w:r>
        <w:rPr>
          <w:rFonts w:hint="eastAsia" w:ascii="仿宋_GB2312" w:hAnsi="仿宋_GB2312" w:cs="仿宋_GB2312"/>
          <w:bCs/>
        </w:rPr>
        <w:t>3.3. 服务要求</w:t>
      </w:r>
      <w:r>
        <w:rPr>
          <w:rFonts w:hint="eastAsia" w:ascii="仿宋_GB2312" w:hAnsi="仿宋_GB2312" w:cs="仿宋_GB2312"/>
        </w:rPr>
        <w:tab/>
      </w:r>
      <w:r>
        <w:rPr>
          <w:rFonts w:hint="eastAsia" w:ascii="仿宋_GB2312" w:hAnsi="仿宋_GB2312" w:cs="仿宋_GB2312"/>
        </w:rPr>
        <w:fldChar w:fldCharType="begin"/>
      </w:r>
      <w:r>
        <w:rPr>
          <w:rFonts w:hint="eastAsia" w:ascii="仿宋_GB2312" w:hAnsi="仿宋_GB2312" w:cs="仿宋_GB2312"/>
        </w:rPr>
        <w:instrText xml:space="preserve"> PAGEREF _Toc6551 </w:instrText>
      </w:r>
      <w:r>
        <w:rPr>
          <w:rFonts w:hint="eastAsia" w:ascii="仿宋_GB2312" w:hAnsi="仿宋_GB2312" w:cs="仿宋_GB2312"/>
        </w:rPr>
        <w:fldChar w:fldCharType="separate"/>
      </w:r>
      <w:r>
        <w:rPr>
          <w:rFonts w:hint="eastAsia" w:ascii="仿宋_GB2312" w:hAnsi="仿宋_GB2312" w:cs="仿宋_GB2312"/>
        </w:rPr>
        <w:t>2</w:t>
      </w:r>
      <w:r>
        <w:rPr>
          <w:rFonts w:hint="eastAsia" w:ascii="仿宋_GB2312" w:hAnsi="仿宋_GB2312" w:cs="仿宋_GB2312"/>
        </w:rPr>
        <w:fldChar w:fldCharType="end"/>
      </w:r>
      <w:r>
        <w:rPr>
          <w:rFonts w:ascii="仿宋_GB2312" w:hAnsi="仿宋_GB2312" w:cs="仿宋_GB2312"/>
        </w:rPr>
        <w:fldChar w:fldCharType="end"/>
      </w:r>
    </w:p>
    <w:p>
      <w:pPr>
        <w:pStyle w:val="8"/>
        <w:tabs>
          <w:tab w:val="right" w:leader="dot" w:pos="8312"/>
        </w:tabs>
        <w:ind w:firstLine="560"/>
        <w:rPr>
          <w:rFonts w:ascii="仿宋_GB2312" w:hAnsi="仿宋_GB2312" w:cs="仿宋_GB2312"/>
        </w:rPr>
      </w:pPr>
      <w:r>
        <w:fldChar w:fldCharType="begin"/>
      </w:r>
      <w:r>
        <w:instrText xml:space="preserve"> HYPERLINK \l "_Toc19161" </w:instrText>
      </w:r>
      <w:r>
        <w:fldChar w:fldCharType="separate"/>
      </w:r>
      <w:r>
        <w:rPr>
          <w:rFonts w:hint="eastAsia" w:ascii="仿宋_GB2312" w:hAnsi="仿宋_GB2312" w:cs="仿宋_GB2312"/>
          <w:bCs/>
        </w:rPr>
        <w:t>3.4. 服务期限</w:t>
      </w:r>
      <w:r>
        <w:rPr>
          <w:rFonts w:hint="eastAsia" w:ascii="仿宋_GB2312" w:hAnsi="仿宋_GB2312" w:cs="仿宋_GB2312"/>
        </w:rPr>
        <w:tab/>
      </w:r>
      <w:r>
        <w:rPr>
          <w:rFonts w:hint="eastAsia" w:ascii="仿宋_GB2312" w:hAnsi="仿宋_GB2312" w:cs="仿宋_GB2312"/>
        </w:rPr>
        <w:fldChar w:fldCharType="begin"/>
      </w:r>
      <w:r>
        <w:rPr>
          <w:rFonts w:hint="eastAsia" w:ascii="仿宋_GB2312" w:hAnsi="仿宋_GB2312" w:cs="仿宋_GB2312"/>
        </w:rPr>
        <w:instrText xml:space="preserve"> PAGEREF _Toc19161 </w:instrText>
      </w:r>
      <w:r>
        <w:rPr>
          <w:rFonts w:hint="eastAsia" w:ascii="仿宋_GB2312" w:hAnsi="仿宋_GB2312" w:cs="仿宋_GB2312"/>
        </w:rPr>
        <w:fldChar w:fldCharType="separate"/>
      </w:r>
      <w:r>
        <w:rPr>
          <w:rFonts w:hint="eastAsia" w:ascii="仿宋_GB2312" w:hAnsi="仿宋_GB2312" w:cs="仿宋_GB2312"/>
        </w:rPr>
        <w:t>3</w:t>
      </w:r>
      <w:r>
        <w:rPr>
          <w:rFonts w:hint="eastAsia" w:ascii="仿宋_GB2312" w:hAnsi="仿宋_GB2312" w:cs="仿宋_GB2312"/>
        </w:rPr>
        <w:fldChar w:fldCharType="end"/>
      </w:r>
      <w:r>
        <w:rPr>
          <w:rFonts w:ascii="仿宋_GB2312" w:hAnsi="仿宋_GB2312" w:cs="仿宋_GB2312"/>
        </w:rPr>
        <w:fldChar w:fldCharType="end"/>
      </w:r>
    </w:p>
    <w:p>
      <w:pPr>
        <w:pStyle w:val="7"/>
        <w:tabs>
          <w:tab w:val="right" w:leader="dot" w:pos="8312"/>
          <w:tab w:val="clear" w:pos="8296"/>
        </w:tabs>
        <w:rPr>
          <w:rFonts w:hint="default"/>
        </w:rPr>
      </w:pPr>
      <w:r>
        <w:fldChar w:fldCharType="begin"/>
      </w:r>
      <w:r>
        <w:instrText xml:space="preserve"> HYPERLINK \l "_Toc19095" </w:instrText>
      </w:r>
      <w:r>
        <w:rPr>
          <w:rFonts w:hint="default"/>
        </w:rPr>
        <w:fldChar w:fldCharType="separate"/>
      </w:r>
      <w:r>
        <w:rPr>
          <w:rFonts w:ascii="仿宋_GB2312" w:hAnsi="仿宋_GB2312" w:cs="仿宋_GB2312"/>
          <w:szCs w:val="22"/>
        </w:rPr>
        <w:t>4. 项目清单及预算</w:t>
      </w:r>
      <w:r>
        <w:rPr>
          <w:rFonts w:ascii="仿宋_GB2312" w:hAnsi="仿宋_GB2312" w:cs="仿宋_GB2312"/>
        </w:rPr>
        <w:tab/>
      </w:r>
      <w:r>
        <w:rPr>
          <w:rFonts w:ascii="仿宋_GB2312" w:hAnsi="仿宋_GB2312" w:cs="仿宋_GB2312"/>
        </w:rPr>
        <w:fldChar w:fldCharType="begin"/>
      </w:r>
      <w:r>
        <w:rPr>
          <w:rFonts w:ascii="仿宋_GB2312" w:hAnsi="仿宋_GB2312" w:cs="仿宋_GB2312"/>
        </w:rPr>
        <w:instrText xml:space="preserve"> PAGEREF _Toc19095 </w:instrText>
      </w:r>
      <w:r>
        <w:rPr>
          <w:rFonts w:ascii="仿宋_GB2312" w:hAnsi="仿宋_GB2312" w:cs="仿宋_GB2312"/>
        </w:rPr>
        <w:fldChar w:fldCharType="separate"/>
      </w:r>
      <w:r>
        <w:rPr>
          <w:rFonts w:ascii="仿宋_GB2312" w:hAnsi="仿宋_GB2312" w:cs="仿宋_GB2312"/>
        </w:rPr>
        <w:t>3</w:t>
      </w:r>
      <w:r>
        <w:rPr>
          <w:rFonts w:ascii="仿宋_GB2312" w:hAnsi="仿宋_GB2312" w:cs="仿宋_GB2312"/>
        </w:rPr>
        <w:fldChar w:fldCharType="end"/>
      </w:r>
      <w:r>
        <w:rPr>
          <w:rFonts w:ascii="仿宋_GB2312" w:hAnsi="仿宋_GB2312" w:cs="仿宋_GB2312"/>
        </w:rPr>
        <w:fldChar w:fldCharType="end"/>
      </w:r>
    </w:p>
    <w:p>
      <w:pPr>
        <w:pStyle w:val="7"/>
        <w:tabs>
          <w:tab w:val="right" w:leader="dot" w:pos="8312"/>
          <w:tab w:val="clear" w:pos="8296"/>
        </w:tabs>
        <w:spacing w:line="240" w:lineRule="auto"/>
        <w:rPr>
          <w:rFonts w:hint="default"/>
          <w:color w:val="000000"/>
          <w:sz w:val="24"/>
          <w:szCs w:val="24"/>
        </w:rPr>
      </w:pPr>
      <w:r>
        <w:rPr>
          <w:rFonts w:ascii="仿宋_GB2312" w:hAnsi="仿宋_GB2312" w:cs="仿宋_GB2312"/>
          <w:color w:val="000000"/>
          <w:szCs w:val="28"/>
        </w:rPr>
        <w:fldChar w:fldCharType="end"/>
      </w:r>
    </w:p>
    <w:p>
      <w:pPr>
        <w:ind w:firstLine="480"/>
        <w:rPr>
          <w:color w:val="000000"/>
          <w:sz w:val="24"/>
          <w:szCs w:val="24"/>
        </w:rPr>
        <w:sectPr>
          <w:headerReference r:id="rId9" w:type="default"/>
          <w:footerReference r:id="rId10" w:type="default"/>
          <w:pgSz w:w="11906" w:h="16838"/>
          <w:pgMar w:top="1440" w:right="1797" w:bottom="1440" w:left="1797" w:header="1020" w:footer="992" w:gutter="0"/>
          <w:pgNumType w:fmt="upperRoman" w:start="1"/>
          <w:cols w:space="720" w:num="1"/>
          <w:docGrid w:type="lines" w:linePitch="312" w:charSpace="0"/>
        </w:sectPr>
      </w:pPr>
    </w:p>
    <w:p>
      <w:pPr>
        <w:pStyle w:val="2"/>
        <w:spacing w:before="156" w:after="156"/>
        <w:rPr>
          <w:rFonts w:hint="default"/>
        </w:rPr>
      </w:pPr>
      <w:bookmarkStart w:id="0" w:name="_Toc31906"/>
      <w:bookmarkStart w:id="1" w:name="_Toc19140"/>
      <w:bookmarkStart w:id="2" w:name="_Toc8608"/>
      <w:bookmarkStart w:id="3" w:name="_Toc26516"/>
      <w:bookmarkStart w:id="4" w:name="_Toc16914"/>
      <w:bookmarkStart w:id="5" w:name="_Toc9850"/>
      <w:bookmarkStart w:id="6" w:name="_Toc14736"/>
      <w:bookmarkStart w:id="7" w:name="_Toc15710"/>
      <w:bookmarkStart w:id="8" w:name="_Toc26304"/>
      <w:bookmarkStart w:id="9" w:name="_Toc19201"/>
      <w:bookmarkStart w:id="10" w:name="_Toc10071"/>
      <w:bookmarkStart w:id="11" w:name="_Toc22217"/>
      <w:bookmarkStart w:id="12" w:name="_Toc19490"/>
      <w:bookmarkStart w:id="13" w:name="_Toc170892479"/>
      <w:bookmarkStart w:id="14" w:name="_Toc4150"/>
      <w:r>
        <w:t>建设背景</w:t>
      </w:r>
      <w:bookmarkEnd w:id="0"/>
      <w:bookmarkEnd w:id="1"/>
      <w:bookmarkEnd w:id="2"/>
      <w:bookmarkEnd w:id="3"/>
      <w:bookmarkEnd w:id="4"/>
      <w:bookmarkEnd w:id="5"/>
    </w:p>
    <w:p>
      <w:pPr>
        <w:ind w:firstLine="560"/>
        <w:rPr>
          <w:rFonts w:ascii="仿宋_GB2312" w:eastAsia="仿宋_GB2312"/>
          <w:kern w:val="0"/>
          <w:sz w:val="28"/>
          <w:szCs w:val="28"/>
        </w:rPr>
      </w:pPr>
      <w:r>
        <w:rPr>
          <w:rFonts w:hint="eastAsia" w:ascii="仿宋_GB2312" w:eastAsia="仿宋_GB2312"/>
          <w:kern w:val="0"/>
          <w:sz w:val="28"/>
          <w:szCs w:val="28"/>
        </w:rPr>
        <w:t>四川幅员辽阔，偏远地区可能没有运营商无线网络覆盖，为解决偏远地区移动巡回法庭设备的无线通信问题，省法院已建卫星地面中心站和四套卫星便携站（甘孜、阿坝、凉山三个中院各一套箱式便携站，省法院一套动中通固定车载便携站），为保证信息数据安全性和传输链路可靠性，需租用卫星通讯带宽。</w:t>
      </w:r>
    </w:p>
    <w:bookmarkEnd w:id="6"/>
    <w:bookmarkEnd w:id="7"/>
    <w:bookmarkEnd w:id="8"/>
    <w:bookmarkEnd w:id="9"/>
    <w:bookmarkEnd w:id="10"/>
    <w:bookmarkEnd w:id="11"/>
    <w:bookmarkEnd w:id="12"/>
    <w:bookmarkEnd w:id="13"/>
    <w:bookmarkEnd w:id="14"/>
    <w:p>
      <w:pPr>
        <w:pStyle w:val="2"/>
        <w:spacing w:before="156" w:after="156"/>
        <w:rPr>
          <w:rFonts w:hint="default"/>
          <w:szCs w:val="22"/>
        </w:rPr>
      </w:pPr>
      <w:bookmarkStart w:id="15" w:name="_Toc10465"/>
      <w:bookmarkStart w:id="16" w:name="_Toc513099079"/>
      <w:bookmarkStart w:id="17" w:name="_Toc30180"/>
      <w:bookmarkStart w:id="18" w:name="_Toc32400"/>
      <w:bookmarkStart w:id="19" w:name="_Toc5050"/>
      <w:bookmarkStart w:id="20" w:name="_Toc26922"/>
      <w:bookmarkStart w:id="21" w:name="_Toc29857"/>
      <w:bookmarkStart w:id="22" w:name="_Toc13642"/>
      <w:bookmarkStart w:id="23" w:name="_Toc196215205"/>
      <w:bookmarkStart w:id="24" w:name="_Toc30634"/>
      <w:bookmarkStart w:id="25" w:name="_Toc170892483"/>
      <w:bookmarkStart w:id="26" w:name="_Toc30105"/>
      <w:bookmarkStart w:id="27" w:name="_Toc8294"/>
      <w:bookmarkStart w:id="28" w:name="_Toc104303254"/>
      <w:bookmarkStart w:id="29" w:name="_Toc19055"/>
      <w:bookmarkStart w:id="30" w:name="_Toc521203597"/>
      <w:bookmarkStart w:id="31" w:name="_Toc2676"/>
      <w:bookmarkStart w:id="32" w:name="_Toc12710"/>
      <w:bookmarkStart w:id="33" w:name="_Toc521204012"/>
      <w:bookmarkStart w:id="34" w:name="_Toc138084306"/>
      <w:bookmarkStart w:id="35" w:name="_Toc25915"/>
      <w:bookmarkStart w:id="36" w:name="_Toc15150"/>
      <w:r>
        <w:rPr>
          <w:szCs w:val="22"/>
        </w:rPr>
        <w:t>建设目标</w:t>
      </w:r>
      <w:bookmarkEnd w:id="15"/>
    </w:p>
    <w:p>
      <w:pPr>
        <w:ind w:firstLine="560"/>
        <w:rPr>
          <w:rFonts w:ascii="仿宋_GB2312" w:eastAsia="仿宋_GB2312"/>
          <w:kern w:val="0"/>
          <w:sz w:val="28"/>
          <w:szCs w:val="28"/>
        </w:rPr>
      </w:pPr>
      <w:r>
        <w:rPr>
          <w:rFonts w:hint="eastAsia" w:ascii="仿宋_GB2312" w:eastAsia="仿宋_GB2312"/>
          <w:kern w:val="0"/>
          <w:sz w:val="28"/>
          <w:szCs w:val="28"/>
        </w:rPr>
        <w:t>通过卫星通道,实现移动巡回法庭现场办案系统与省法院办案系统互联互通,上传下载数据信息；实时传输移动巡回法庭现场采集的视频图像；移动巡回法庭现场工作人员可实现公网语音通话；动中通车辆在驻车状态或行进状态，车上随行人员可实现数据、语音、图像传输。</w:t>
      </w:r>
    </w:p>
    <w:p>
      <w:pPr>
        <w:pStyle w:val="2"/>
        <w:spacing w:before="156" w:after="156"/>
        <w:rPr>
          <w:rFonts w:hint="default"/>
          <w:szCs w:val="22"/>
        </w:rPr>
      </w:pPr>
      <w:bookmarkStart w:id="37" w:name="_Toc16653"/>
      <w:r>
        <w:rPr>
          <w:szCs w:val="22"/>
        </w:rPr>
        <w:t>建设方案</w:t>
      </w:r>
      <w:bookmarkEnd w:id="37"/>
    </w:p>
    <w:p>
      <w:pPr>
        <w:pStyle w:val="3"/>
        <w:spacing w:before="156" w:after="156"/>
        <w:rPr>
          <w:b/>
          <w:bCs/>
        </w:rPr>
      </w:pPr>
      <w:bookmarkStart w:id="38" w:name="_Toc24708"/>
      <w:r>
        <w:rPr>
          <w:rFonts w:hint="eastAsia"/>
          <w:b/>
          <w:bCs/>
        </w:rPr>
        <w:t>系统拓扑图</w:t>
      </w:r>
      <w:bookmarkEnd w:id="38"/>
    </w:p>
    <w:p>
      <w:pPr>
        <w:ind w:firstLine="560"/>
        <w:rPr>
          <w:rFonts w:ascii="仿宋_GB2312" w:eastAsia="仿宋_GB2312"/>
          <w:kern w:val="0"/>
          <w:sz w:val="28"/>
          <w:szCs w:val="28"/>
        </w:rPr>
      </w:pPr>
      <w:r>
        <w:rPr>
          <w:rFonts w:hint="eastAsia" w:ascii="仿宋_GB2312" w:eastAsia="仿宋_GB2312"/>
          <w:kern w:val="0"/>
          <w:sz w:val="28"/>
          <w:szCs w:val="28"/>
        </w:rPr>
        <w:t>四川省法院已建成的卫星通讯系统拓扑示意图如下所示：</w:t>
      </w:r>
    </w:p>
    <w:p>
      <w:pPr>
        <w:pStyle w:val="9"/>
        <w:ind w:firstLine="210"/>
      </w:pPr>
      <w:r>
        <w:rPr>
          <w:rFonts w:hint="eastAsia" w:ascii="宋体" w:hAnsi="宋体" w:cs="宋体"/>
          <w:color w:val="000000"/>
          <w:szCs w:val="28"/>
        </w:rPr>
        <w:object>
          <v:shape id="_x0000_i1025" o:spt="75" type="#_x0000_t75" style="height:220pt;width:347.7pt;" o:ole="t" filled="f" o:preferrelative="t" stroked="f" coordsize="21600,21600">
            <v:path/>
            <v:fill on="f" focussize="0,0"/>
            <v:stroke on="f"/>
            <v:imagedata r:id="rId13" o:title=""/>
            <o:lock v:ext="edit" aspectratio="t"/>
            <w10:wrap type="none"/>
            <w10:anchorlock/>
          </v:shape>
          <o:OLEObject Type="Embed" ProgID="Visio.Drawing.11" ShapeID="_x0000_i1025" DrawAspect="Content" ObjectID="_1468075725" r:id="rId12">
            <o:LockedField>false</o:LockedField>
          </o:OLEObject>
        </w:object>
      </w:r>
    </w:p>
    <w:p>
      <w:pPr>
        <w:pStyle w:val="9"/>
        <w:ind w:firstLine="240"/>
        <w:jc w:val="center"/>
        <w:rPr>
          <w:rFonts w:ascii="仿宋_GB2312" w:hAnsi="仿宋_GB2312" w:cs="仿宋_GB2312"/>
          <w:sz w:val="24"/>
          <w:szCs w:val="24"/>
        </w:rPr>
      </w:pPr>
      <w:r>
        <w:rPr>
          <w:rFonts w:hint="eastAsia" w:ascii="宋体" w:hAnsi="宋体" w:eastAsia="宋体" w:cs="宋体"/>
          <w:sz w:val="24"/>
          <w:szCs w:val="24"/>
        </w:rPr>
        <w:t>图</w:t>
      </w:r>
      <w:r>
        <w:rPr>
          <w:rFonts w:hint="eastAsia" w:ascii="仿宋_GB2312" w:hAnsi="仿宋_GB2312" w:cs="仿宋_GB2312"/>
          <w:sz w:val="24"/>
          <w:szCs w:val="24"/>
        </w:rPr>
        <w:t xml:space="preserve">1 </w:t>
      </w:r>
      <w:r>
        <w:rPr>
          <w:rFonts w:hint="eastAsia" w:ascii="宋体" w:hAnsi="宋体" w:eastAsia="宋体" w:cs="宋体"/>
          <w:sz w:val="24"/>
          <w:szCs w:val="24"/>
        </w:rPr>
        <w:t>卫星通讯系统拓扑示意图</w:t>
      </w:r>
    </w:p>
    <w:p>
      <w:pPr>
        <w:ind w:firstLine="560"/>
        <w:rPr>
          <w:rFonts w:ascii="仿宋_GB2312" w:eastAsia="仿宋_GB2312"/>
          <w:kern w:val="0"/>
          <w:sz w:val="28"/>
          <w:szCs w:val="28"/>
        </w:rPr>
      </w:pPr>
      <w:r>
        <w:rPr>
          <w:rFonts w:hint="eastAsia" w:ascii="仿宋_GB2312" w:eastAsia="仿宋_GB2312"/>
          <w:kern w:val="0"/>
          <w:sz w:val="28"/>
          <w:szCs w:val="28"/>
        </w:rPr>
        <w:t>卫星便携站通过卫星通道,将移动巡回法庭现场信息传输到卫星地面中心站落地,卫星地面中心站再通过地面网络将现场信息传输到省法院的业务应用系统。反之,利用卫星地面中心站,将省法院业务信息通过卫星传输到卫星便携站。</w:t>
      </w:r>
    </w:p>
    <w:p>
      <w:pPr>
        <w:ind w:firstLine="560"/>
        <w:rPr>
          <w:rFonts w:ascii="仿宋_GB2312" w:eastAsia="仿宋_GB2312"/>
          <w:kern w:val="0"/>
          <w:sz w:val="28"/>
          <w:szCs w:val="28"/>
        </w:rPr>
      </w:pPr>
      <w:r>
        <w:rPr>
          <w:rFonts w:hint="eastAsia" w:ascii="仿宋_GB2312" w:eastAsia="仿宋_GB2312"/>
          <w:kern w:val="0"/>
          <w:sz w:val="28"/>
          <w:szCs w:val="28"/>
        </w:rPr>
        <w:t>动中通卫星通信车在驻车状态或行进中，通过卫星通道将数据、语音、图像传输到卫星地面中心站落地,卫星地面中心站再通过地面网络将现场信息传输到省法院的业务应用系统。反之,利用卫星地面中心站,将省法院业务信息通过卫星传输到动中通卫星通信车。</w:t>
      </w:r>
    </w:p>
    <w:p>
      <w:pPr>
        <w:pStyle w:val="3"/>
        <w:spacing w:before="156" w:after="156"/>
        <w:rPr>
          <w:b/>
          <w:bCs/>
        </w:rPr>
      </w:pPr>
      <w:bookmarkStart w:id="39" w:name="_Toc28021"/>
      <w:bookmarkStart w:id="40" w:name="_Toc13686"/>
      <w:bookmarkStart w:id="41" w:name="_Toc5530"/>
      <w:bookmarkStart w:id="42" w:name="_Toc29532"/>
      <w:bookmarkStart w:id="43" w:name="_Toc17997"/>
      <w:bookmarkStart w:id="44" w:name="_Toc501"/>
      <w:r>
        <w:rPr>
          <w:b/>
          <w:bCs/>
        </w:rPr>
        <w:t>建设内容</w:t>
      </w:r>
      <w:bookmarkEnd w:id="39"/>
      <w:bookmarkEnd w:id="40"/>
      <w:bookmarkEnd w:id="41"/>
      <w:bookmarkEnd w:id="42"/>
      <w:bookmarkEnd w:id="43"/>
      <w:bookmarkEnd w:id="44"/>
    </w:p>
    <w:p>
      <w:pPr>
        <w:ind w:firstLine="560"/>
        <w:rPr>
          <w:rFonts w:ascii="仿宋_GB2312" w:eastAsia="仿宋_GB2312"/>
          <w:kern w:val="0"/>
          <w:sz w:val="28"/>
          <w:szCs w:val="28"/>
        </w:rPr>
      </w:pPr>
      <w:r>
        <w:rPr>
          <w:rFonts w:hint="eastAsia" w:ascii="仿宋_GB2312" w:eastAsia="仿宋_GB2312"/>
          <w:kern w:val="0"/>
          <w:sz w:val="28"/>
          <w:szCs w:val="28"/>
        </w:rPr>
        <w:t>根据实际需求，本项目建设内容为临时租用卫星通讯带宽，满足移动巡回法庭和动中通卫星通信车现场数据、话音、视频信息的传输需求。</w:t>
      </w:r>
    </w:p>
    <w:bookmarkEnd w:id="16"/>
    <w:bookmarkEnd w:id="17"/>
    <w:p>
      <w:pPr>
        <w:pStyle w:val="3"/>
        <w:spacing w:before="156" w:after="156"/>
        <w:rPr>
          <w:b/>
          <w:bCs/>
        </w:rPr>
      </w:pPr>
      <w:bookmarkStart w:id="45" w:name="_Toc6551"/>
      <w:bookmarkStart w:id="46" w:name="_Toc20587"/>
      <w:bookmarkStart w:id="47" w:name="_Toc22980"/>
      <w:bookmarkStart w:id="48" w:name="_Toc26253"/>
      <w:bookmarkStart w:id="49" w:name="_Toc18049"/>
      <w:bookmarkStart w:id="50" w:name="_Toc21848"/>
      <w:bookmarkStart w:id="51" w:name="_Toc510947981"/>
      <w:bookmarkStart w:id="52" w:name="_Toc27087"/>
      <w:bookmarkStart w:id="53" w:name="_Toc8610"/>
      <w:r>
        <w:rPr>
          <w:rFonts w:hint="eastAsia"/>
          <w:b/>
          <w:bCs/>
        </w:rPr>
        <w:t>服务要求</w:t>
      </w:r>
      <w:bookmarkEnd w:id="45"/>
    </w:p>
    <w:p>
      <w:pPr>
        <w:numPr>
          <w:ilvl w:val="0"/>
          <w:numId w:val="3"/>
        </w:numPr>
        <w:snapToGrid w:val="0"/>
        <w:spacing w:line="360" w:lineRule="auto"/>
        <w:ind w:left="0" w:firstLine="560" w:firstLineChars="200"/>
        <w:rPr>
          <w:rFonts w:ascii="仿宋_GB2312" w:eastAsia="仿宋_GB2312"/>
          <w:kern w:val="0"/>
          <w:sz w:val="28"/>
          <w:szCs w:val="28"/>
        </w:rPr>
      </w:pPr>
      <w:r>
        <w:rPr>
          <w:rFonts w:hint="eastAsia" w:ascii="仿宋_GB2312" w:eastAsia="仿宋_GB2312"/>
          <w:kern w:val="0"/>
          <w:sz w:val="28"/>
          <w:szCs w:val="28"/>
        </w:rPr>
        <w:t>服务期内应保证卫星通讯畅通并免费处理一切与卫星通讯带宽相关的故障。</w:t>
      </w:r>
    </w:p>
    <w:p>
      <w:pPr>
        <w:numPr>
          <w:ilvl w:val="0"/>
          <w:numId w:val="3"/>
        </w:numPr>
        <w:snapToGrid w:val="0"/>
        <w:spacing w:line="360" w:lineRule="auto"/>
        <w:ind w:left="0" w:firstLine="560" w:firstLineChars="200"/>
        <w:rPr>
          <w:rFonts w:ascii="仿宋_GB2312" w:eastAsia="仿宋_GB2312"/>
          <w:kern w:val="0"/>
          <w:sz w:val="28"/>
          <w:szCs w:val="28"/>
        </w:rPr>
      </w:pPr>
      <w:r>
        <w:rPr>
          <w:rFonts w:hint="eastAsia" w:ascii="仿宋_GB2312" w:eastAsia="仿宋_GB2312"/>
          <w:kern w:val="0"/>
          <w:sz w:val="28"/>
          <w:szCs w:val="28"/>
        </w:rPr>
        <w:t>需提供技术支持服务，包括热线电话、远程在线支持及现场服务。</w:t>
      </w:r>
    </w:p>
    <w:p>
      <w:pPr>
        <w:numPr>
          <w:ilvl w:val="0"/>
          <w:numId w:val="3"/>
        </w:numPr>
        <w:snapToGrid w:val="0"/>
        <w:spacing w:line="360" w:lineRule="auto"/>
        <w:ind w:left="0" w:firstLine="560" w:firstLineChars="200"/>
        <w:rPr>
          <w:rFonts w:ascii="仿宋_GB2312" w:eastAsia="仿宋_GB2312"/>
          <w:kern w:val="0"/>
          <w:sz w:val="28"/>
          <w:szCs w:val="28"/>
        </w:rPr>
      </w:pPr>
      <w:r>
        <w:rPr>
          <w:rFonts w:hint="eastAsia" w:ascii="仿宋_GB2312" w:eastAsia="仿宋_GB2312"/>
          <w:kern w:val="0"/>
          <w:sz w:val="28"/>
          <w:szCs w:val="28"/>
        </w:rPr>
        <w:t>需安排专人与业主联系本项目服务事宜，并配合完成相关系统联调工作。</w:t>
      </w:r>
    </w:p>
    <w:bookmarkEnd w:id="46"/>
    <w:bookmarkEnd w:id="47"/>
    <w:bookmarkEnd w:id="48"/>
    <w:bookmarkEnd w:id="49"/>
    <w:bookmarkEnd w:id="50"/>
    <w:p>
      <w:pPr>
        <w:pStyle w:val="3"/>
        <w:spacing w:before="156" w:after="156"/>
        <w:rPr>
          <w:b/>
          <w:bCs/>
        </w:rPr>
      </w:pPr>
      <w:bookmarkStart w:id="54" w:name="_Toc19161"/>
      <w:r>
        <w:rPr>
          <w:rFonts w:hint="eastAsia"/>
          <w:b/>
          <w:bCs/>
        </w:rPr>
        <w:t>服务期限</w:t>
      </w:r>
      <w:bookmarkEnd w:id="54"/>
    </w:p>
    <w:p>
      <w:pPr>
        <w:ind w:firstLine="560"/>
        <w:rPr>
          <w:rFonts w:ascii="仿宋_GB2312" w:eastAsia="仿宋_GB2312"/>
          <w:kern w:val="0"/>
          <w:sz w:val="28"/>
          <w:szCs w:val="28"/>
        </w:rPr>
      </w:pPr>
      <w:r>
        <w:rPr>
          <w:rFonts w:hint="eastAsia" w:ascii="仿宋_GB2312" w:eastAsia="仿宋_GB2312"/>
          <w:kern w:val="0"/>
          <w:sz w:val="28"/>
          <w:szCs w:val="28"/>
        </w:rPr>
        <w:t>本项目自合同签订日期起，采取临租（1200元/1MHz/小时）方式，以20个小时租期满为止结束，其中，计时时间以能正常使用卫星频率时间为开始，至终止使用卫星频率时间为结束。</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51"/>
    <w:bookmarkEnd w:id="52"/>
    <w:bookmarkEnd w:id="53"/>
    <w:p>
      <w:pPr>
        <w:pStyle w:val="2"/>
        <w:spacing w:before="156" w:after="156"/>
        <w:rPr>
          <w:rFonts w:hint="default"/>
          <w:szCs w:val="22"/>
        </w:rPr>
      </w:pPr>
      <w:bookmarkStart w:id="55" w:name="_Toc26400"/>
      <w:bookmarkStart w:id="56" w:name="_Toc19095"/>
      <w:bookmarkStart w:id="57" w:name="_Toc13463"/>
      <w:bookmarkStart w:id="58" w:name="_Toc17922"/>
      <w:bookmarkStart w:id="59" w:name="_Toc31535"/>
      <w:bookmarkStart w:id="60" w:name="_Toc4884"/>
      <w:r>
        <w:rPr>
          <w:szCs w:val="22"/>
        </w:rPr>
        <w:t>项目清单及预算</w:t>
      </w:r>
      <w:bookmarkEnd w:id="55"/>
      <w:bookmarkEnd w:id="56"/>
      <w:bookmarkEnd w:id="57"/>
      <w:bookmarkEnd w:id="58"/>
      <w:bookmarkEnd w:id="59"/>
      <w:bookmarkEnd w:id="60"/>
    </w:p>
    <w:p>
      <w:pPr>
        <w:ind w:firstLine="560"/>
        <w:rPr>
          <w:rFonts w:ascii="仿宋_GB2312" w:hAnsi="仿宋_GB2312" w:cs="仿宋_GB2312"/>
          <w:szCs w:val="28"/>
        </w:rPr>
      </w:pPr>
      <w:r>
        <w:rPr>
          <w:rFonts w:hint="eastAsia" w:ascii="仿宋_GB2312" w:eastAsia="仿宋_GB2312"/>
          <w:kern w:val="0"/>
          <w:sz w:val="28"/>
          <w:szCs w:val="28"/>
        </w:rPr>
        <w:t>本项目预算2.4万元，本期项目清单及预算如下表所示：</w:t>
      </w:r>
    </w:p>
    <w:p>
      <w:pPr>
        <w:pStyle w:val="13"/>
        <w:rPr>
          <w:rFonts w:hint="default" w:ascii="仿宋_GB2312" w:hAnsi="仿宋_GB2312" w:cs="仿宋_GB2312"/>
          <w:szCs w:val="28"/>
        </w:rPr>
      </w:pPr>
      <w:r>
        <w:rPr>
          <w:rFonts w:ascii="仿宋_GB2312" w:hAnsi="仿宋_GB2312" w:cs="仿宋_GB2312"/>
          <w:szCs w:val="28"/>
        </w:rPr>
        <w:t xml:space="preserve"> 本期项目清单及预算</w:t>
      </w:r>
    </w:p>
    <w:tbl>
      <w:tblPr>
        <w:tblStyle w:val="10"/>
        <w:tblW w:w="0" w:type="auto"/>
        <w:tblInd w:w="0" w:type="dxa"/>
        <w:tblLayout w:type="autofit"/>
        <w:tblCellMar>
          <w:top w:w="0" w:type="dxa"/>
          <w:left w:w="0" w:type="dxa"/>
          <w:bottom w:w="0" w:type="dxa"/>
          <w:right w:w="0" w:type="dxa"/>
        </w:tblCellMar>
      </w:tblPr>
      <w:tblGrid>
        <w:gridCol w:w="502"/>
        <w:gridCol w:w="2900"/>
        <w:gridCol w:w="2433"/>
        <w:gridCol w:w="502"/>
        <w:gridCol w:w="502"/>
        <w:gridCol w:w="1225"/>
      </w:tblGrid>
      <w:tr>
        <w:tblPrEx>
          <w:tblCellMar>
            <w:top w:w="0" w:type="dxa"/>
            <w:left w:w="0" w:type="dxa"/>
            <w:bottom w:w="0" w:type="dxa"/>
            <w:right w:w="0" w:type="dxa"/>
          </w:tblCellMar>
        </w:tblPrEx>
        <w:trPr>
          <w:trHeight w:val="454"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仿宋_GB2312" w:hAnsi="仿宋_GB2312" w:cs="仿宋_GB2312"/>
                <w:b/>
                <w:color w:val="000000"/>
                <w:kern w:val="0"/>
                <w:sz w:val="24"/>
                <w:szCs w:val="24"/>
                <w:lang w:bidi="ar"/>
              </w:rPr>
            </w:pPr>
            <w:r>
              <w:rPr>
                <w:rFonts w:hint="eastAsia" w:ascii="宋体" w:hAnsi="宋体" w:eastAsia="宋体" w:cs="宋体"/>
                <w:b/>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仿宋_GB2312" w:hAnsi="仿宋_GB2312" w:cs="仿宋_GB2312"/>
                <w:b/>
                <w:color w:val="000000"/>
                <w:kern w:val="0"/>
                <w:sz w:val="24"/>
                <w:szCs w:val="24"/>
                <w:lang w:bidi="ar"/>
              </w:rPr>
            </w:pPr>
            <w:r>
              <w:rPr>
                <w:rFonts w:hint="eastAsia" w:ascii="宋体" w:hAnsi="宋体" w:eastAsia="宋体" w:cs="宋体"/>
                <w:b/>
                <w:color w:val="000000"/>
                <w:kern w:val="0"/>
                <w:sz w:val="24"/>
                <w:szCs w:val="24"/>
                <w:lang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仿宋_GB2312" w:hAnsi="仿宋_GB2312" w:cs="仿宋_GB2312"/>
                <w:b/>
                <w:color w:val="000000"/>
                <w:kern w:val="0"/>
                <w:sz w:val="24"/>
                <w:szCs w:val="24"/>
                <w:lang w:bidi="ar"/>
              </w:rPr>
            </w:pPr>
            <w:r>
              <w:rPr>
                <w:rFonts w:hint="eastAsia" w:ascii="宋体" w:hAnsi="宋体" w:eastAsia="宋体" w:cs="宋体"/>
                <w:b/>
                <w:color w:val="000000"/>
                <w:kern w:val="0"/>
                <w:sz w:val="24"/>
                <w:szCs w:val="24"/>
                <w:lang w:bidi="ar"/>
              </w:rPr>
              <w:t>单价（元</w:t>
            </w:r>
            <w:r>
              <w:rPr>
                <w:rFonts w:hint="eastAsia" w:ascii="仿宋_GB2312" w:hAnsi="仿宋_GB2312" w:cs="仿宋_GB2312"/>
                <w:b/>
                <w:color w:val="000000"/>
                <w:kern w:val="0"/>
                <w:sz w:val="24"/>
                <w:szCs w:val="24"/>
                <w:lang w:bidi="ar"/>
              </w:rPr>
              <w:t>/1MHz/</w:t>
            </w:r>
            <w:r>
              <w:rPr>
                <w:rFonts w:hint="eastAsia" w:ascii="宋体" w:hAnsi="宋体" w:eastAsia="宋体" w:cs="宋体"/>
                <w:b/>
                <w:color w:val="000000"/>
                <w:kern w:val="0"/>
                <w:sz w:val="24"/>
                <w:szCs w:val="24"/>
                <w:lang w:bidi="ar"/>
              </w:rPr>
              <w:t>小时）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widowControl/>
              <w:jc w:val="center"/>
              <w:textAlignment w:val="center"/>
              <w:rPr>
                <w:rFonts w:ascii="仿宋_GB2312" w:hAnsi="仿宋_GB2312" w:cs="仿宋_GB2312"/>
                <w:b/>
                <w:color w:val="000000"/>
                <w:kern w:val="0"/>
                <w:sz w:val="24"/>
                <w:szCs w:val="24"/>
                <w:lang w:bidi="ar"/>
              </w:rPr>
            </w:pPr>
            <w:r>
              <w:rPr>
                <w:rFonts w:hint="eastAsia" w:ascii="宋体" w:hAnsi="宋体" w:eastAsia="宋体" w:cs="宋体"/>
                <w:b/>
                <w:color w:val="000000"/>
                <w:kern w:val="0"/>
                <w:sz w:val="24"/>
                <w:szCs w:val="24"/>
                <w:lang w:bidi="ar"/>
              </w:rPr>
              <w:t>数量</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tcMar>
              <w:top w:w="10" w:type="dxa"/>
              <w:left w:w="10" w:type="dxa"/>
              <w:right w:w="10" w:type="dxa"/>
            </w:tcMar>
            <w:vAlign w:val="center"/>
          </w:tcPr>
          <w:p>
            <w:pPr>
              <w:widowControl/>
              <w:jc w:val="center"/>
              <w:textAlignment w:val="center"/>
              <w:rPr>
                <w:rFonts w:ascii="仿宋_GB2312" w:hAnsi="仿宋_GB2312" w:cs="仿宋_GB2312"/>
                <w:b/>
                <w:color w:val="000000"/>
                <w:kern w:val="0"/>
                <w:sz w:val="24"/>
                <w:szCs w:val="24"/>
                <w:lang w:bidi="ar"/>
              </w:rPr>
            </w:pPr>
            <w:r>
              <w:rPr>
                <w:rFonts w:hint="eastAsia" w:ascii="宋体" w:hAnsi="宋体" w:eastAsia="宋体" w:cs="宋体"/>
                <w:b/>
                <w:color w:val="000000"/>
                <w:kern w:val="0"/>
                <w:sz w:val="24"/>
                <w:szCs w:val="24"/>
                <w:lang w:bidi="ar"/>
              </w:rPr>
              <w:t>单位</w:t>
            </w:r>
          </w:p>
        </w:tc>
        <w:tc>
          <w:tcPr>
            <w:tcW w:w="0" w:type="auto"/>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仿宋_GB2312" w:hAnsi="仿宋_GB2312" w:cs="仿宋_GB2312"/>
                <w:b/>
                <w:color w:val="000000"/>
                <w:kern w:val="0"/>
                <w:sz w:val="24"/>
                <w:szCs w:val="24"/>
                <w:lang w:bidi="ar"/>
              </w:rPr>
            </w:pPr>
            <w:r>
              <w:rPr>
                <w:rFonts w:hint="eastAsia" w:ascii="宋体" w:hAnsi="宋体" w:eastAsia="宋体" w:cs="宋体"/>
                <w:b/>
                <w:color w:val="000000"/>
                <w:kern w:val="0"/>
                <w:sz w:val="24"/>
                <w:szCs w:val="24"/>
                <w:lang w:bidi="ar"/>
              </w:rPr>
              <w:t>小计（元）</w:t>
            </w:r>
          </w:p>
        </w:tc>
      </w:tr>
      <w:tr>
        <w:tblPrEx>
          <w:tblCellMar>
            <w:top w:w="0" w:type="dxa"/>
            <w:left w:w="0" w:type="dxa"/>
            <w:bottom w:w="0" w:type="dxa"/>
            <w:right w:w="0" w:type="dxa"/>
          </w:tblCellMar>
        </w:tblPrEx>
        <w:trPr>
          <w:trHeight w:val="45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仿宋_GB2312" w:hAnsi="仿宋_GB2312" w:cs="仿宋_GB2312"/>
                <w:color w:val="000000"/>
                <w:kern w:val="0"/>
                <w:sz w:val="24"/>
                <w:szCs w:val="24"/>
                <w:lang w:bidi="ar"/>
              </w:rPr>
            </w:pPr>
            <w:r>
              <w:rPr>
                <w:rFonts w:hint="eastAsia" w:ascii="仿宋_GB2312" w:hAnsi="仿宋_GB2312" w:cs="仿宋_GB2312"/>
                <w:color w:val="000000"/>
                <w:kern w:val="0"/>
                <w:sz w:val="24"/>
                <w:szCs w:val="24"/>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仿宋_GB2312" w:hAnsi="仿宋_GB2312" w:cs="仿宋_GB2312"/>
                <w:color w:val="000000"/>
                <w:kern w:val="0"/>
                <w:sz w:val="24"/>
                <w:szCs w:val="24"/>
                <w:lang w:bidi="ar"/>
              </w:rPr>
            </w:pPr>
            <w:r>
              <w:rPr>
                <w:rFonts w:hint="eastAsia" w:ascii="宋体" w:hAnsi="宋体" w:eastAsia="宋体" w:cs="宋体"/>
                <w:color w:val="000000"/>
                <w:kern w:val="0"/>
                <w:sz w:val="24"/>
                <w:szCs w:val="24"/>
                <w:lang w:bidi="ar"/>
              </w:rPr>
              <w:t>卫星通讯带宽租赁（临租）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widowControl/>
              <w:jc w:val="center"/>
              <w:textAlignment w:val="center"/>
              <w:rPr>
                <w:rFonts w:ascii="仿宋_GB2312" w:hAnsi="仿宋_GB2312" w:cs="仿宋_GB2312"/>
                <w:color w:val="000000"/>
                <w:kern w:val="0"/>
                <w:sz w:val="24"/>
                <w:szCs w:val="24"/>
                <w:lang w:bidi="ar"/>
              </w:rPr>
            </w:pPr>
            <w:r>
              <w:rPr>
                <w:rFonts w:hint="eastAsia" w:ascii="仿宋_GB2312" w:hAnsi="仿宋_GB2312" w:cs="仿宋_GB2312"/>
                <w:color w:val="000000"/>
                <w:kern w:val="0"/>
                <w:sz w:val="24"/>
                <w:szCs w:val="24"/>
                <w:lang w:bidi="ar"/>
              </w:rPr>
              <w:t>1200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仿宋_GB2312" w:hAnsi="仿宋_GB2312" w:cs="仿宋_GB2312"/>
                <w:color w:val="000000"/>
                <w:kern w:val="0"/>
                <w:sz w:val="24"/>
                <w:szCs w:val="24"/>
                <w:lang w:bidi="ar"/>
              </w:rPr>
            </w:pPr>
            <w:r>
              <w:rPr>
                <w:rFonts w:hint="eastAsia" w:ascii="仿宋_GB2312" w:hAnsi="仿宋_GB2312" w:cs="仿宋_GB2312"/>
                <w:color w:val="000000"/>
                <w:kern w:val="0"/>
                <w:sz w:val="24"/>
                <w:szCs w:val="24"/>
                <w:lang w:bidi="ar"/>
              </w:rPr>
              <w:t>20</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0"/>
            <w:tcMar>
              <w:top w:w="10" w:type="dxa"/>
              <w:left w:w="10" w:type="dxa"/>
              <w:right w:w="10" w:type="dxa"/>
            </w:tcMar>
            <w:vAlign w:val="center"/>
          </w:tcPr>
          <w:p>
            <w:pPr>
              <w:widowControl/>
              <w:jc w:val="center"/>
              <w:textAlignment w:val="center"/>
              <w:rPr>
                <w:rFonts w:ascii="仿宋_GB2312" w:hAnsi="仿宋_GB2312" w:cs="仿宋_GB2312"/>
                <w:color w:val="000000"/>
                <w:kern w:val="0"/>
                <w:sz w:val="24"/>
                <w:szCs w:val="24"/>
                <w:lang w:bidi="ar"/>
              </w:rPr>
            </w:pPr>
            <w:r>
              <w:rPr>
                <w:rFonts w:hint="eastAsia" w:ascii="宋体" w:hAnsi="宋体" w:eastAsia="宋体" w:cs="宋体"/>
                <w:color w:val="000000"/>
                <w:kern w:val="0"/>
                <w:sz w:val="24"/>
                <w:szCs w:val="24"/>
                <w:lang w:bidi="ar"/>
              </w:rPr>
              <w:t>小时</w:t>
            </w: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0"/>
            <w:tcMar>
              <w:top w:w="10" w:type="dxa"/>
              <w:left w:w="10" w:type="dxa"/>
              <w:right w:w="10" w:type="dxa"/>
            </w:tcMar>
            <w:vAlign w:val="center"/>
          </w:tcPr>
          <w:p>
            <w:pPr>
              <w:widowControl/>
              <w:jc w:val="center"/>
              <w:textAlignment w:val="center"/>
              <w:rPr>
                <w:rFonts w:ascii="仿宋_GB2312" w:hAnsi="仿宋_GB2312" w:cs="仿宋_GB2312"/>
                <w:color w:val="000000"/>
                <w:kern w:val="0"/>
                <w:sz w:val="24"/>
                <w:szCs w:val="24"/>
                <w:lang w:bidi="ar"/>
              </w:rPr>
            </w:pPr>
            <w:r>
              <w:rPr>
                <w:rFonts w:hint="eastAsia" w:ascii="仿宋_GB2312" w:hAnsi="仿宋_GB2312" w:cs="仿宋_GB2312"/>
                <w:color w:val="000000"/>
                <w:kern w:val="0"/>
                <w:sz w:val="24"/>
                <w:szCs w:val="24"/>
                <w:lang w:bidi="ar"/>
              </w:rPr>
              <w:t>24000</w:t>
            </w:r>
          </w:p>
        </w:tc>
      </w:tr>
    </w:tbl>
    <w:p>
      <w:pPr>
        <w:pStyle w:val="14"/>
        <w:rPr>
          <w:rFonts w:ascii="仿宋_GB2312" w:hAnsi="仿宋_GB2312" w:eastAsia="仿宋_GB2312" w:cs="仿宋_GB2312"/>
          <w:lang w:bidi="ar"/>
        </w:rPr>
      </w:pPr>
    </w:p>
    <w:p/>
    <w:p>
      <w:pPr>
        <w:rPr>
          <w:rFonts w:ascii="仿宋_GB2312" w:eastAsia="仿宋_GB2312"/>
          <w:sz w:val="28"/>
          <w:szCs w:val="28"/>
        </w:rPr>
      </w:pPr>
    </w:p>
    <w:p>
      <w:pPr>
        <w:rPr>
          <w:rFonts w:hint="eastAsia" w:eastAsiaTheme="minor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Droid Sans Fallback">
    <w:altName w:val="Times New Roman"/>
    <w:panose1 w:val="00000000000000000000"/>
    <w:charset w:val="00"/>
    <w:family w:val="auto"/>
    <w:pitch w:val="default"/>
    <w:sig w:usb0="00000000" w:usb1="00000000" w:usb2="00000000" w:usb3="00000000" w:csb0="00040001" w:csb1="00000000"/>
  </w:font>
  <w:font w:name="Droid Sans">
    <w:altName w:val="Times New Roman"/>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HYCuHeiJ">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textAlignment w:val="base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textAlignment w:val="baseline"/>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ind w:firstLine="360"/>
                            <w:textAlignment w:val="baseline"/>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path/>
              <v:fill on="f" focussize="0,0"/>
              <v:stroke on="f" weight="0.5pt"/>
              <v:imagedata o:title=""/>
              <o:lock v:ext="edit"/>
              <v:textbox inset="0mm,0mm,0mm,0mm" style="mso-fit-shape-to-text:t;">
                <w:txbxContent>
                  <w:p>
                    <w:pPr>
                      <w:pStyle w:val="5"/>
                      <w:ind w:firstLine="360"/>
                      <w:textAlignment w:val="baseline"/>
                    </w:pPr>
                    <w:r>
                      <w:fldChar w:fldCharType="begin"/>
                    </w:r>
                    <w:r>
                      <w:instrText xml:space="preserve"> PAGE  \* MERGEFORMAT </w:instrText>
                    </w:r>
                    <w:r>
                      <w:fldChar w:fldCharType="separate"/>
                    </w:r>
                    <w:r>
                      <w:t>I</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0C788A"/>
    <w:multiLevelType w:val="multilevel"/>
    <w:tmpl w:val="830C788A"/>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AA3E50CD"/>
    <w:multiLevelType w:val="singleLevel"/>
    <w:tmpl w:val="AA3E50CD"/>
    <w:lvl w:ilvl="0" w:tentative="0">
      <w:start w:val="1"/>
      <w:numFmt w:val="decimal"/>
      <w:pStyle w:val="13"/>
      <w:suff w:val="nothing"/>
      <w:lvlText w:val="表%1 "/>
      <w:lvlJc w:val="center"/>
      <w:pPr>
        <w:tabs>
          <w:tab w:val="left" w:pos="0"/>
        </w:tabs>
        <w:ind w:left="0" w:firstLine="0"/>
      </w:pPr>
      <w:rPr>
        <w:rFonts w:hint="default" w:ascii="宋体" w:hAnsi="宋体" w:eastAsia="宋体" w:cs="宋体"/>
      </w:rPr>
    </w:lvl>
  </w:abstractNum>
  <w:abstractNum w:abstractNumId="2">
    <w:nsid w:val="3218F5F7"/>
    <w:multiLevelType w:val="singleLevel"/>
    <w:tmpl w:val="3218F5F7"/>
    <w:lvl w:ilvl="0" w:tentative="0">
      <w:start w:val="1"/>
      <w:numFmt w:val="decimal"/>
      <w:lvlText w:val="(%1)"/>
      <w:lvlJc w:val="left"/>
      <w:pPr>
        <w:ind w:left="425" w:hanging="425"/>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1D2D6A"/>
    <w:rsid w:val="031D2D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iPriority="99"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Droid Sans Fallback" w:cs="Droid Sans"/>
      <w:kern w:val="2"/>
      <w:sz w:val="21"/>
      <w:lang w:val="en-US" w:eastAsia="zh-CN" w:bidi="ar-SA"/>
    </w:rPr>
  </w:style>
  <w:style w:type="paragraph" w:styleId="2">
    <w:name w:val="heading 1"/>
    <w:next w:val="1"/>
    <w:qFormat/>
    <w:uiPriority w:val="0"/>
    <w:pPr>
      <w:keepNext/>
      <w:numPr>
        <w:ilvl w:val="0"/>
        <w:numId w:val="1"/>
      </w:numPr>
      <w:spacing w:before="50" w:beforeLines="50" w:after="50" w:afterLines="50" w:line="360" w:lineRule="auto"/>
      <w:outlineLvl w:val="0"/>
    </w:pPr>
    <w:rPr>
      <w:rFonts w:hint="eastAsia" w:ascii="Arial" w:hAnsi="Arial" w:eastAsia="黑体" w:cs="Times New Roman"/>
      <w:b/>
      <w:sz w:val="36"/>
      <w:lang w:val="en-US" w:eastAsia="zh-CN" w:bidi="ar-SA"/>
    </w:rPr>
  </w:style>
  <w:style w:type="paragraph" w:styleId="3">
    <w:name w:val="heading 2"/>
    <w:basedOn w:val="1"/>
    <w:next w:val="1"/>
    <w:qFormat/>
    <w:uiPriority w:val="0"/>
    <w:pPr>
      <w:numPr>
        <w:ilvl w:val="1"/>
        <w:numId w:val="1"/>
      </w:numPr>
      <w:snapToGrid w:val="0"/>
      <w:spacing w:before="50" w:beforeLines="50" w:after="50" w:afterLines="50" w:line="360" w:lineRule="auto"/>
      <w:ind w:firstLine="0"/>
      <w:outlineLvl w:val="1"/>
    </w:pPr>
    <w:rPr>
      <w:rFonts w:ascii="黑体" w:hAnsi="黑体" w:eastAsia="黑体" w:cs="Times New Roman"/>
      <w:sz w:val="32"/>
      <w:szCs w:val="22"/>
    </w:rPr>
  </w:style>
  <w:style w:type="character" w:default="1" w:styleId="11">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4">
    <w:name w:val="Body Text"/>
    <w:basedOn w:val="1"/>
    <w:unhideWhenUsed/>
    <w:uiPriority w:val="0"/>
    <w:rPr>
      <w:rFonts w:eastAsia="仿宋_GB2312" w:cs="Times New Roman"/>
      <w:kern w:val="0"/>
      <w:sz w:val="32"/>
      <w:szCs w:val="24"/>
    </w:rPr>
  </w:style>
  <w:style w:type="paragraph" w:styleId="5">
    <w:name w:val="footer"/>
    <w:basedOn w:val="1"/>
    <w:unhideWhenUsed/>
    <w:qFormat/>
    <w:uiPriority w:val="0"/>
    <w:pPr>
      <w:tabs>
        <w:tab w:val="center" w:pos="4153"/>
        <w:tab w:val="right" w:pos="8306"/>
      </w:tabs>
      <w:snapToGrid w:val="0"/>
      <w:jc w:val="left"/>
    </w:pPr>
    <w:rPr>
      <w:rFonts w:ascii="Calibri" w:hAnsi="Calibri" w:eastAsia="宋体" w:cs="Times New Roman"/>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7">
    <w:name w:val="toc 1"/>
    <w:next w:val="1"/>
    <w:qFormat/>
    <w:uiPriority w:val="39"/>
    <w:pPr>
      <w:tabs>
        <w:tab w:val="right" w:leader="dot" w:pos="8296"/>
      </w:tabs>
      <w:spacing w:line="360" w:lineRule="auto"/>
    </w:pPr>
    <w:rPr>
      <w:rFonts w:hint="eastAsia" w:ascii="宋体" w:hAnsi="宋体" w:eastAsia="仿宋_GB2312" w:cs="Times New Roman"/>
      <w:sz w:val="28"/>
      <w:lang w:val="en-US" w:eastAsia="zh-CN" w:bidi="ar-SA"/>
    </w:rPr>
  </w:style>
  <w:style w:type="paragraph" w:styleId="8">
    <w:name w:val="toc 2"/>
    <w:basedOn w:val="1"/>
    <w:next w:val="1"/>
    <w:qFormat/>
    <w:uiPriority w:val="39"/>
    <w:pPr>
      <w:snapToGrid w:val="0"/>
      <w:spacing w:line="360" w:lineRule="auto"/>
      <w:ind w:firstLine="720" w:firstLineChars="200"/>
    </w:pPr>
    <w:rPr>
      <w:rFonts w:ascii="宋体" w:hAnsi="宋体" w:eastAsia="仿宋_GB2312" w:cs="Times New Roman"/>
      <w:kern w:val="0"/>
      <w:sz w:val="28"/>
      <w:szCs w:val="22"/>
    </w:rPr>
  </w:style>
  <w:style w:type="paragraph" w:styleId="9">
    <w:name w:val="Body Text First Indent"/>
    <w:basedOn w:val="4"/>
    <w:semiHidden/>
    <w:unhideWhenUsed/>
    <w:uiPriority w:val="99"/>
    <w:pPr>
      <w:spacing w:after="120"/>
      <w:ind w:firstLine="420" w:firstLineChars="100"/>
    </w:pPr>
    <w:rPr>
      <w:rFonts w:eastAsia="Droid Sans Fallback" w:cs="Droid Sans"/>
      <w:kern w:val="2"/>
      <w:sz w:val="21"/>
      <w:szCs w:val="20"/>
    </w:rPr>
  </w:style>
  <w:style w:type="paragraph" w:customStyle="1" w:styleId="12">
    <w:name w:val="目录标题"/>
    <w:basedOn w:val="1"/>
    <w:qFormat/>
    <w:uiPriority w:val="0"/>
    <w:pPr>
      <w:snapToGrid w:val="0"/>
      <w:spacing w:before="50" w:beforeLines="50" w:after="50" w:afterLines="50" w:line="360" w:lineRule="auto"/>
      <w:ind w:firstLine="720" w:firstLineChars="200"/>
      <w:jc w:val="center"/>
    </w:pPr>
    <w:rPr>
      <w:rFonts w:ascii="黑体" w:hAnsi="黑体" w:eastAsia="黑体" w:cs="Times New Roman"/>
      <w:kern w:val="0"/>
      <w:sz w:val="44"/>
      <w:szCs w:val="22"/>
    </w:rPr>
  </w:style>
  <w:style w:type="paragraph" w:customStyle="1" w:styleId="13">
    <w:name w:val="表格内文字"/>
    <w:next w:val="1"/>
    <w:qFormat/>
    <w:uiPriority w:val="0"/>
    <w:pPr>
      <w:widowControl w:val="0"/>
      <w:numPr>
        <w:ilvl w:val="0"/>
        <w:numId w:val="2"/>
      </w:numPr>
      <w:snapToGrid w:val="0"/>
      <w:jc w:val="center"/>
    </w:pPr>
    <w:rPr>
      <w:rFonts w:hint="eastAsia" w:ascii="宋体" w:hAnsi="宋体" w:eastAsia="仿宋_GB2312" w:cs="Times New Roman"/>
      <w:snapToGrid w:val="0"/>
      <w:sz w:val="24"/>
      <w:szCs w:val="22"/>
      <w:lang w:val="en-US" w:eastAsia="zh-CN" w:bidi="ar-SA"/>
    </w:rPr>
  </w:style>
  <w:style w:type="paragraph" w:customStyle="1" w:styleId="14">
    <w:name w:val="Default"/>
    <w:qFormat/>
    <w:uiPriority w:val="0"/>
    <w:pPr>
      <w:widowControl w:val="0"/>
      <w:autoSpaceDE w:val="0"/>
      <w:autoSpaceDN w:val="0"/>
      <w:adjustRightInd w:val="0"/>
    </w:pPr>
    <w:rPr>
      <w:rFonts w:ascii="HYCuHeiJ" w:hAnsi="Times New Roman" w:eastAsia="HYCuHeiJ" w:cs="HYCuHeiJ"/>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2021-05-06T02:25:00Z</dcterms:created>
  <dc:creator>Administrator</dc:creator>
  <cp:lastModifiedBy>Administrator</cp:lastModifiedBy>
  <dcterms:modified xsi:type="dcterms:W3CDTF">2021-05-06T02:26:48Z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